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1FCBA20">
      <w:pPr>
        <w:spacing w:line="480" w:lineRule="exact"/>
        <w:rPr>
          <w:color w:val="auto"/>
          <w:sz w:val="24"/>
          <w:highlight w:val="none"/>
        </w:rPr>
      </w:pPr>
      <w:r>
        <w:rPr>
          <w:rFonts w:hint="eastAsia"/>
          <w:color w:val="auto"/>
          <w:sz w:val="24"/>
          <w:highlight w:val="none"/>
        </w:rPr>
        <w:drawing>
          <wp:anchor distT="0" distB="0" distL="114300" distR="114300" simplePos="0" relativeHeight="251660288" behindDoc="0" locked="0" layoutInCell="1" allowOverlap="1">
            <wp:simplePos x="0" y="0"/>
            <wp:positionH relativeFrom="column">
              <wp:posOffset>-1304290</wp:posOffset>
            </wp:positionH>
            <wp:positionV relativeFrom="paragraph">
              <wp:posOffset>-1002665</wp:posOffset>
            </wp:positionV>
            <wp:extent cx="8143875" cy="3238500"/>
            <wp:effectExtent l="0" t="0" r="9525" b="0"/>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154842" cy="3242770"/>
                    </a:xfrm>
                    <a:prstGeom prst="rect">
                      <a:avLst/>
                    </a:prstGeom>
                    <a:noFill/>
                    <a:ln>
                      <a:noFill/>
                    </a:ln>
                  </pic:spPr>
                </pic:pic>
              </a:graphicData>
            </a:graphic>
          </wp:anchor>
        </w:drawing>
      </w:r>
    </w:p>
    <w:p w14:paraId="13C6A4FD">
      <w:pPr>
        <w:spacing w:line="480" w:lineRule="exact"/>
        <w:rPr>
          <w:color w:val="auto"/>
          <w:sz w:val="24"/>
          <w:highlight w:val="none"/>
        </w:rPr>
      </w:pPr>
    </w:p>
    <w:p w14:paraId="7415F4D5">
      <w:pPr>
        <w:spacing w:line="480" w:lineRule="exact"/>
        <w:rPr>
          <w:color w:val="auto"/>
          <w:sz w:val="24"/>
          <w:highlight w:val="none"/>
        </w:rPr>
      </w:pPr>
    </w:p>
    <w:p w14:paraId="276F295D">
      <w:pPr>
        <w:spacing w:line="480" w:lineRule="exact"/>
        <w:rPr>
          <w:color w:val="auto"/>
          <w:sz w:val="24"/>
          <w:highlight w:val="none"/>
        </w:rPr>
      </w:pPr>
    </w:p>
    <w:p w14:paraId="292EBAED">
      <w:pPr>
        <w:spacing w:line="480" w:lineRule="exact"/>
        <w:rPr>
          <w:color w:val="auto"/>
          <w:sz w:val="24"/>
          <w:highlight w:val="none"/>
        </w:rPr>
      </w:pPr>
    </w:p>
    <w:p w14:paraId="6342AFEF">
      <w:pPr>
        <w:snapToGrid w:val="0"/>
        <w:spacing w:line="312" w:lineRule="auto"/>
        <w:ind w:right="28"/>
        <w:jc w:val="center"/>
        <w:rPr>
          <w:rFonts w:eastAsia="黑体"/>
          <w:b/>
          <w:color w:val="auto"/>
          <w:sz w:val="52"/>
          <w:szCs w:val="52"/>
          <w:highlight w:val="none"/>
        </w:rPr>
      </w:pPr>
    </w:p>
    <w:p w14:paraId="2326EC96">
      <w:pPr>
        <w:snapToGrid w:val="0"/>
        <w:spacing w:line="312" w:lineRule="auto"/>
        <w:ind w:right="28"/>
        <w:jc w:val="center"/>
        <w:rPr>
          <w:rFonts w:eastAsia="黑体"/>
          <w:b/>
          <w:color w:val="auto"/>
          <w:sz w:val="52"/>
          <w:szCs w:val="52"/>
          <w:highlight w:val="none"/>
        </w:rPr>
      </w:pPr>
    </w:p>
    <w:p w14:paraId="0E81579C">
      <w:pPr>
        <w:snapToGrid w:val="0"/>
        <w:spacing w:line="312" w:lineRule="auto"/>
        <w:ind w:right="28"/>
        <w:jc w:val="center"/>
        <w:rPr>
          <w:rFonts w:eastAsia="黑体"/>
          <w:b/>
          <w:color w:val="auto"/>
          <w:sz w:val="52"/>
          <w:szCs w:val="52"/>
          <w:highlight w:val="none"/>
        </w:rPr>
      </w:pPr>
    </w:p>
    <w:p w14:paraId="727FC5F6">
      <w:pPr>
        <w:spacing w:line="360" w:lineRule="auto"/>
        <w:jc w:val="center"/>
        <w:rPr>
          <w:rFonts w:hint="eastAsia" w:ascii="宋体" w:hAnsi="宋体"/>
          <w:b/>
          <w:color w:val="auto"/>
          <w:spacing w:val="30"/>
          <w:sz w:val="44"/>
          <w:szCs w:val="44"/>
          <w:highlight w:val="none"/>
          <w:lang w:val="en-US" w:eastAsia="zh-CN"/>
        </w:rPr>
      </w:pPr>
      <w:r>
        <w:rPr>
          <w:rFonts w:hint="eastAsia" w:ascii="宋体" w:hAnsi="宋体"/>
          <w:b/>
          <w:color w:val="auto"/>
          <w:spacing w:val="30"/>
          <w:sz w:val="44"/>
          <w:szCs w:val="44"/>
          <w:highlight w:val="none"/>
          <w:lang w:val="en-US" w:eastAsia="zh-CN"/>
        </w:rPr>
        <w:t>2026年广州供电局客服中心营业厅配套设备修理</w:t>
      </w:r>
    </w:p>
    <w:p w14:paraId="3C237CFB">
      <w:pPr>
        <w:spacing w:line="360" w:lineRule="auto"/>
        <w:jc w:val="center"/>
        <w:rPr>
          <w:rFonts w:ascii="宋体" w:hAnsi="宋体"/>
          <w:b/>
          <w:color w:val="auto"/>
          <w:spacing w:val="30"/>
          <w:sz w:val="44"/>
          <w:szCs w:val="44"/>
          <w:highlight w:val="none"/>
        </w:rPr>
      </w:pPr>
      <w:r>
        <w:rPr>
          <w:rFonts w:hint="eastAsia" w:ascii="宋体" w:hAnsi="宋体"/>
          <w:b/>
          <w:color w:val="auto"/>
          <w:spacing w:val="30"/>
          <w:sz w:val="44"/>
          <w:szCs w:val="44"/>
          <w:highlight w:val="none"/>
        </w:rPr>
        <w:t>技术规范书</w:t>
      </w:r>
    </w:p>
    <w:p w14:paraId="7718AF2E">
      <w:pPr>
        <w:adjustRightInd w:val="0"/>
        <w:snapToGrid w:val="0"/>
        <w:rPr>
          <w:color w:val="auto"/>
          <w:sz w:val="28"/>
          <w:szCs w:val="28"/>
          <w:highlight w:val="none"/>
        </w:rPr>
      </w:pPr>
    </w:p>
    <w:p w14:paraId="5BFE1E92">
      <w:pPr>
        <w:adjustRightInd w:val="0"/>
        <w:snapToGrid w:val="0"/>
        <w:rPr>
          <w:color w:val="auto"/>
          <w:highlight w:val="none"/>
        </w:rPr>
      </w:pPr>
    </w:p>
    <w:p w14:paraId="589796E3">
      <w:pPr>
        <w:tabs>
          <w:tab w:val="left" w:pos="8123"/>
        </w:tabs>
        <w:adjustRightInd w:val="0"/>
        <w:snapToGrid w:val="0"/>
        <w:rPr>
          <w:color w:val="auto"/>
          <w:highlight w:val="none"/>
        </w:rPr>
      </w:pPr>
      <w:r>
        <w:rPr>
          <w:rFonts w:hint="eastAsia"/>
          <w:color w:val="auto"/>
          <w:highlight w:val="none"/>
        </w:rPr>
        <w:tab/>
      </w:r>
    </w:p>
    <w:p w14:paraId="06BFBF5E">
      <w:pPr>
        <w:adjustRightInd w:val="0"/>
        <w:snapToGrid w:val="0"/>
        <w:rPr>
          <w:color w:val="auto"/>
          <w:highlight w:val="none"/>
        </w:rPr>
      </w:pPr>
    </w:p>
    <w:p w14:paraId="623F5022">
      <w:pPr>
        <w:adjustRightInd w:val="0"/>
        <w:snapToGrid w:val="0"/>
        <w:rPr>
          <w:color w:val="auto"/>
          <w:highlight w:val="none"/>
        </w:rPr>
      </w:pPr>
    </w:p>
    <w:p w14:paraId="070D48BA">
      <w:pPr>
        <w:adjustRightInd w:val="0"/>
        <w:snapToGrid w:val="0"/>
        <w:rPr>
          <w:color w:val="auto"/>
          <w:highlight w:val="none"/>
        </w:rPr>
      </w:pPr>
    </w:p>
    <w:p w14:paraId="1708F968">
      <w:pPr>
        <w:adjustRightInd w:val="0"/>
        <w:snapToGrid w:val="0"/>
        <w:rPr>
          <w:color w:val="auto"/>
          <w:highlight w:val="none"/>
        </w:rPr>
      </w:pPr>
    </w:p>
    <w:p w14:paraId="0D7D947C">
      <w:pPr>
        <w:adjustRightInd w:val="0"/>
        <w:snapToGrid w:val="0"/>
        <w:rPr>
          <w:color w:val="auto"/>
          <w:highlight w:val="none"/>
        </w:rPr>
      </w:pPr>
    </w:p>
    <w:p w14:paraId="3B85895D">
      <w:pPr>
        <w:adjustRightInd w:val="0"/>
        <w:snapToGrid w:val="0"/>
        <w:rPr>
          <w:color w:val="auto"/>
          <w:highlight w:val="none"/>
        </w:rPr>
      </w:pPr>
    </w:p>
    <w:p w14:paraId="65B6FEF1">
      <w:pPr>
        <w:adjustRightInd w:val="0"/>
        <w:snapToGrid w:val="0"/>
        <w:rPr>
          <w:color w:val="auto"/>
          <w:highlight w:val="none"/>
        </w:rPr>
      </w:pPr>
    </w:p>
    <w:p w14:paraId="1429ED4A">
      <w:pPr>
        <w:adjustRightInd w:val="0"/>
        <w:snapToGrid w:val="0"/>
        <w:rPr>
          <w:color w:val="auto"/>
          <w:highlight w:val="none"/>
        </w:rPr>
      </w:pPr>
    </w:p>
    <w:p w14:paraId="08B1A428">
      <w:pPr>
        <w:adjustRightInd w:val="0"/>
        <w:snapToGrid w:val="0"/>
        <w:rPr>
          <w:color w:val="auto"/>
          <w:highlight w:val="none"/>
        </w:rPr>
      </w:pPr>
    </w:p>
    <w:p w14:paraId="03AFE3EE">
      <w:pPr>
        <w:adjustRightInd w:val="0"/>
        <w:snapToGrid w:val="0"/>
        <w:rPr>
          <w:color w:val="auto"/>
          <w:highlight w:val="none"/>
        </w:rPr>
      </w:pPr>
    </w:p>
    <w:p w14:paraId="4B4FE245">
      <w:pPr>
        <w:adjustRightInd w:val="0"/>
        <w:snapToGrid w:val="0"/>
        <w:rPr>
          <w:color w:val="auto"/>
          <w:highlight w:val="none"/>
        </w:rPr>
      </w:pPr>
    </w:p>
    <w:p w14:paraId="7AA74EEC">
      <w:pPr>
        <w:adjustRightInd w:val="0"/>
        <w:snapToGrid w:val="0"/>
        <w:rPr>
          <w:color w:val="auto"/>
          <w:highlight w:val="none"/>
        </w:rPr>
      </w:pPr>
    </w:p>
    <w:p w14:paraId="1DAC353C">
      <w:pPr>
        <w:adjustRightInd w:val="0"/>
        <w:snapToGrid w:val="0"/>
        <w:rPr>
          <w:color w:val="auto"/>
          <w:highlight w:val="none"/>
        </w:rPr>
      </w:pPr>
    </w:p>
    <w:p w14:paraId="33AAAE57">
      <w:pPr>
        <w:adjustRightInd w:val="0"/>
        <w:snapToGrid w:val="0"/>
        <w:rPr>
          <w:color w:val="auto"/>
          <w:highlight w:val="none"/>
        </w:rPr>
      </w:pPr>
    </w:p>
    <w:p w14:paraId="04806C5C">
      <w:pPr>
        <w:adjustRightInd w:val="0"/>
        <w:snapToGrid w:val="0"/>
        <w:rPr>
          <w:color w:val="auto"/>
          <w:highlight w:val="none"/>
        </w:rPr>
      </w:pPr>
    </w:p>
    <w:p w14:paraId="64F5AEFE">
      <w:pPr>
        <w:adjustRightInd w:val="0"/>
        <w:snapToGrid w:val="0"/>
        <w:rPr>
          <w:color w:val="auto"/>
          <w:highlight w:val="none"/>
        </w:rPr>
      </w:pPr>
    </w:p>
    <w:p w14:paraId="03CC4AB3">
      <w:pPr>
        <w:adjustRightInd w:val="0"/>
        <w:snapToGrid w:val="0"/>
        <w:rPr>
          <w:color w:val="auto"/>
          <w:highlight w:val="none"/>
        </w:rPr>
      </w:pPr>
    </w:p>
    <w:p w14:paraId="0E26046D">
      <w:pPr>
        <w:adjustRightInd w:val="0"/>
        <w:snapToGrid w:val="0"/>
        <w:rPr>
          <w:color w:val="auto"/>
          <w:highlight w:val="none"/>
        </w:rPr>
      </w:pPr>
    </w:p>
    <w:p w14:paraId="573F1E84">
      <w:pPr>
        <w:adjustRightInd w:val="0"/>
        <w:snapToGrid w:val="0"/>
        <w:rPr>
          <w:color w:val="auto"/>
          <w:highlight w:val="none"/>
        </w:rPr>
      </w:pPr>
    </w:p>
    <w:p w14:paraId="465FCCB9">
      <w:pPr>
        <w:adjustRightInd w:val="0"/>
        <w:snapToGrid w:val="0"/>
        <w:rPr>
          <w:color w:val="auto"/>
          <w:highlight w:val="none"/>
        </w:rPr>
      </w:pPr>
    </w:p>
    <w:p w14:paraId="72FC2448">
      <w:pPr>
        <w:adjustRightInd w:val="0"/>
        <w:snapToGrid w:val="0"/>
        <w:rPr>
          <w:color w:val="auto"/>
          <w:highlight w:val="none"/>
        </w:rPr>
      </w:pPr>
    </w:p>
    <w:p w14:paraId="045FD3F5">
      <w:pPr>
        <w:adjustRightInd w:val="0"/>
        <w:snapToGrid w:val="0"/>
        <w:rPr>
          <w:color w:val="auto"/>
          <w:highlight w:val="none"/>
        </w:rPr>
      </w:pPr>
    </w:p>
    <w:p w14:paraId="19AD1AFE">
      <w:pPr>
        <w:spacing w:line="360" w:lineRule="auto"/>
        <w:jc w:val="center"/>
        <w:rPr>
          <w:rFonts w:ascii="宋体" w:hAnsi="宋体"/>
          <w:b/>
          <w:color w:val="auto"/>
          <w:sz w:val="28"/>
          <w:szCs w:val="28"/>
          <w:highlight w:val="none"/>
        </w:rPr>
      </w:pPr>
      <w:r>
        <w:rPr>
          <w:rFonts w:hint="eastAsia" w:ascii="宋体" w:hAnsi="宋体"/>
          <w:b/>
          <w:color w:val="auto"/>
          <w:sz w:val="28"/>
          <w:szCs w:val="28"/>
          <w:highlight w:val="none"/>
        </w:rPr>
        <w:t>广东电网有限责任公司广州供电局</w:t>
      </w:r>
    </w:p>
    <w:p w14:paraId="74C5DBA0">
      <w:pPr>
        <w:spacing w:line="360" w:lineRule="auto"/>
        <w:jc w:val="center"/>
        <w:rPr>
          <w:rFonts w:ascii="宋体" w:hAnsi="宋体"/>
          <w:b/>
          <w:color w:val="auto"/>
          <w:sz w:val="32"/>
          <w:szCs w:val="32"/>
          <w:highlight w:val="none"/>
          <w:lang w:val="en-GB"/>
        </w:rPr>
      </w:pPr>
      <w:r>
        <w:rPr>
          <w:rFonts w:hint="eastAsia" w:ascii="宋体" w:hAnsi="宋体"/>
          <w:b/>
          <w:color w:val="auto"/>
          <w:highlight w:val="none"/>
          <w:lang w:val="en-US" w:eastAsia="zh-CN"/>
        </w:rPr>
        <w:t>2025</w:t>
      </w:r>
      <w:r>
        <w:rPr>
          <w:rFonts w:hint="eastAsia" w:ascii="宋体" w:hAnsi="宋体"/>
          <w:b/>
          <w:color w:val="auto"/>
          <w:highlight w:val="none"/>
        </w:rPr>
        <w:t xml:space="preserve">年 </w:t>
      </w:r>
      <w:r>
        <w:rPr>
          <w:rFonts w:hint="eastAsia" w:ascii="宋体" w:hAnsi="宋体"/>
          <w:b/>
          <w:color w:val="auto"/>
          <w:highlight w:val="none"/>
          <w:lang w:val="en-US" w:eastAsia="zh-CN"/>
        </w:rPr>
        <w:t>10</w:t>
      </w:r>
      <w:r>
        <w:rPr>
          <w:rFonts w:hint="eastAsia"/>
          <w:b/>
          <w:color w:val="auto"/>
          <w:highlight w:val="none"/>
        </w:rPr>
        <w:t>月</w:t>
      </w:r>
    </w:p>
    <w:p w14:paraId="67098942">
      <w:pPr>
        <w:pageBreakBefore/>
        <w:jc w:val="center"/>
        <w:rPr>
          <w:rFonts w:asciiTheme="minorEastAsia" w:hAnsiTheme="minorEastAsia" w:eastAsiaTheme="minorEastAsia"/>
          <w:color w:val="auto"/>
          <w:sz w:val="44"/>
          <w:szCs w:val="44"/>
          <w:highlight w:val="none"/>
        </w:rPr>
      </w:pPr>
      <w:r>
        <w:rPr>
          <w:rFonts w:hint="eastAsia" w:asciiTheme="minorEastAsia" w:hAnsiTheme="minorEastAsia" w:eastAsiaTheme="minorEastAsia"/>
          <w:color w:val="auto"/>
          <w:sz w:val="44"/>
          <w:szCs w:val="44"/>
          <w:highlight w:val="none"/>
        </w:rPr>
        <w:t>目录</w:t>
      </w:r>
    </w:p>
    <w:p w14:paraId="325316B7">
      <w:pPr>
        <w:pStyle w:val="20"/>
        <w:tabs>
          <w:tab w:val="right" w:leader="dot" w:pos="9923"/>
        </w:tabs>
      </w:pPr>
      <w:r>
        <w:rPr>
          <w:rFonts w:asciiTheme="minorEastAsia" w:hAnsiTheme="minorEastAsia" w:eastAsiaTheme="minorEastAsia"/>
          <w:smallCaps/>
          <w:color w:val="auto"/>
          <w:sz w:val="44"/>
          <w:szCs w:val="44"/>
          <w:highlight w:val="none"/>
        </w:rPr>
        <w:fldChar w:fldCharType="begin"/>
      </w:r>
      <w:r>
        <w:rPr>
          <w:rFonts w:asciiTheme="minorEastAsia" w:hAnsiTheme="minorEastAsia" w:eastAsiaTheme="minorEastAsia"/>
          <w:color w:val="auto"/>
          <w:sz w:val="44"/>
          <w:szCs w:val="44"/>
          <w:highlight w:val="none"/>
        </w:rPr>
        <w:instrText xml:space="preserve"> </w:instrText>
      </w:r>
      <w:r>
        <w:rPr>
          <w:rFonts w:hint="eastAsia" w:asciiTheme="minorEastAsia" w:hAnsiTheme="minorEastAsia" w:eastAsiaTheme="minorEastAsia"/>
          <w:color w:val="auto"/>
          <w:sz w:val="44"/>
          <w:szCs w:val="44"/>
          <w:highlight w:val="none"/>
        </w:rPr>
        <w:instrText xml:space="preserve">TOC \o "1-3" \h \z \u</w:instrText>
      </w:r>
      <w:r>
        <w:rPr>
          <w:rFonts w:asciiTheme="minorEastAsia" w:hAnsiTheme="minorEastAsia" w:eastAsiaTheme="minorEastAsia"/>
          <w:color w:val="auto"/>
          <w:sz w:val="44"/>
          <w:szCs w:val="44"/>
          <w:highlight w:val="none"/>
        </w:rPr>
        <w:instrText xml:space="preserve"> </w:instrText>
      </w:r>
      <w:r>
        <w:rPr>
          <w:rFonts w:asciiTheme="minorEastAsia" w:hAnsiTheme="minorEastAsia" w:eastAsiaTheme="minorEastAsia"/>
          <w:smallCaps/>
          <w:color w:val="auto"/>
          <w:sz w:val="44"/>
          <w:szCs w:val="44"/>
          <w:highlight w:val="none"/>
        </w:rPr>
        <w:fldChar w:fldCharType="separate"/>
      </w:r>
      <w:r>
        <w:rPr>
          <w:rFonts w:asciiTheme="minorEastAsia" w:hAnsiTheme="minorEastAsia" w:eastAsiaTheme="minorEastAsia"/>
          <w:smallCaps/>
          <w:color w:val="auto"/>
          <w:szCs w:val="44"/>
          <w:highlight w:val="none"/>
        </w:rPr>
        <w:fldChar w:fldCharType="begin"/>
      </w:r>
      <w:r>
        <w:rPr>
          <w:rFonts w:asciiTheme="minorEastAsia" w:hAnsiTheme="minorEastAsia" w:eastAsiaTheme="minorEastAsia"/>
          <w:smallCaps/>
          <w:szCs w:val="44"/>
          <w:highlight w:val="none"/>
        </w:rPr>
        <w:instrText xml:space="preserve"> HYPERLINK \l _Toc31472 </w:instrText>
      </w:r>
      <w:r>
        <w:rPr>
          <w:rFonts w:asciiTheme="minorEastAsia" w:hAnsiTheme="minorEastAsia" w:eastAsiaTheme="minorEastAsia"/>
          <w:smallCaps/>
          <w:szCs w:val="44"/>
          <w:highlight w:val="none"/>
        </w:rPr>
        <w:fldChar w:fldCharType="separate"/>
      </w:r>
      <w:r>
        <w:rPr>
          <w:rFonts w:hint="eastAsia" w:asciiTheme="majorEastAsia" w:hAnsiTheme="majorEastAsia" w:eastAsiaTheme="majorEastAsia"/>
          <w:i w:val="0"/>
        </w:rPr>
        <w:t xml:space="preserve">一、 </w:t>
      </w:r>
      <w:r>
        <w:rPr>
          <w:rFonts w:hint="eastAsia" w:asciiTheme="minorEastAsia" w:hAnsiTheme="minorEastAsia" w:eastAsiaTheme="minorEastAsia"/>
          <w:highlight w:val="none"/>
        </w:rPr>
        <w:t>总则</w:t>
      </w:r>
      <w:r>
        <w:tab/>
      </w:r>
      <w:r>
        <w:fldChar w:fldCharType="begin"/>
      </w:r>
      <w:r>
        <w:instrText xml:space="preserve"> PAGEREF _Toc31472 \h </w:instrText>
      </w:r>
      <w:r>
        <w:fldChar w:fldCharType="separate"/>
      </w:r>
      <w:r>
        <w:t>3</w:t>
      </w:r>
      <w:r>
        <w:fldChar w:fldCharType="end"/>
      </w:r>
      <w:r>
        <w:rPr>
          <w:rFonts w:asciiTheme="minorEastAsia" w:hAnsiTheme="minorEastAsia" w:eastAsiaTheme="minorEastAsia"/>
          <w:smallCaps/>
          <w:color w:val="auto"/>
          <w:szCs w:val="44"/>
          <w:highlight w:val="none"/>
        </w:rPr>
        <w:fldChar w:fldCharType="end"/>
      </w:r>
    </w:p>
    <w:p w14:paraId="4FC1872F">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_Toc21476 </w:instrText>
      </w:r>
      <w:r>
        <w:rPr>
          <w:rFonts w:asciiTheme="minorEastAsia" w:hAnsiTheme="minorEastAsia" w:eastAsiaTheme="minorEastAsia"/>
          <w:szCs w:val="44"/>
          <w:highlight w:val="none"/>
        </w:rPr>
        <w:fldChar w:fldCharType="separate"/>
      </w:r>
      <w:r>
        <w:rPr>
          <w:rFonts w:hint="eastAsia"/>
        </w:rPr>
        <w:t xml:space="preserve">1.1 </w:t>
      </w:r>
      <w:r>
        <w:rPr>
          <w:highlight w:val="none"/>
        </w:rPr>
        <w:t>概述</w:t>
      </w:r>
      <w:r>
        <w:tab/>
      </w:r>
      <w:r>
        <w:fldChar w:fldCharType="begin"/>
      </w:r>
      <w:r>
        <w:instrText xml:space="preserve"> PAGEREF _Toc21476 \h </w:instrText>
      </w:r>
      <w:r>
        <w:fldChar w:fldCharType="separate"/>
      </w:r>
      <w:r>
        <w:t>3</w:t>
      </w:r>
      <w:r>
        <w:fldChar w:fldCharType="end"/>
      </w:r>
      <w:r>
        <w:rPr>
          <w:rFonts w:asciiTheme="minorEastAsia" w:hAnsiTheme="minorEastAsia" w:eastAsiaTheme="minorEastAsia"/>
          <w:color w:val="auto"/>
          <w:szCs w:val="44"/>
          <w:highlight w:val="none"/>
        </w:rPr>
        <w:fldChar w:fldCharType="end"/>
      </w:r>
    </w:p>
    <w:p w14:paraId="67BB82CF">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_Toc7426 </w:instrText>
      </w:r>
      <w:r>
        <w:rPr>
          <w:rFonts w:asciiTheme="minorEastAsia" w:hAnsiTheme="minorEastAsia" w:eastAsiaTheme="minorEastAsia"/>
          <w:szCs w:val="44"/>
          <w:highlight w:val="none"/>
        </w:rPr>
        <w:fldChar w:fldCharType="separate"/>
      </w:r>
      <w:r>
        <w:rPr>
          <w:rFonts w:hint="eastAsia"/>
        </w:rPr>
        <w:t xml:space="preserve">1.2 </w:t>
      </w:r>
      <w:r>
        <w:rPr>
          <w:highlight w:val="none"/>
        </w:rPr>
        <w:t>定义</w:t>
      </w:r>
      <w:r>
        <w:tab/>
      </w:r>
      <w:r>
        <w:fldChar w:fldCharType="begin"/>
      </w:r>
      <w:r>
        <w:instrText xml:space="preserve"> PAGEREF _Toc7426 \h </w:instrText>
      </w:r>
      <w:r>
        <w:fldChar w:fldCharType="separate"/>
      </w:r>
      <w:r>
        <w:t>3</w:t>
      </w:r>
      <w:r>
        <w:fldChar w:fldCharType="end"/>
      </w:r>
      <w:r>
        <w:rPr>
          <w:rFonts w:asciiTheme="minorEastAsia" w:hAnsiTheme="minorEastAsia" w:eastAsiaTheme="minorEastAsia"/>
          <w:color w:val="auto"/>
          <w:szCs w:val="44"/>
          <w:highlight w:val="none"/>
        </w:rPr>
        <w:fldChar w:fldCharType="end"/>
      </w:r>
    </w:p>
    <w:p w14:paraId="43335FCB">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_Toc4333 </w:instrText>
      </w:r>
      <w:r>
        <w:rPr>
          <w:rFonts w:asciiTheme="minorEastAsia" w:hAnsiTheme="minorEastAsia" w:eastAsiaTheme="minorEastAsia"/>
          <w:szCs w:val="44"/>
          <w:highlight w:val="none"/>
        </w:rPr>
        <w:fldChar w:fldCharType="separate"/>
      </w:r>
      <w:r>
        <w:rPr>
          <w:rFonts w:hint="eastAsia"/>
          <w:szCs w:val="24"/>
        </w:rPr>
        <w:t xml:space="preserve">1.3 </w:t>
      </w:r>
      <w:r>
        <w:rPr>
          <w:rFonts w:hint="eastAsia"/>
          <w:szCs w:val="24"/>
          <w:highlight w:val="none"/>
        </w:rPr>
        <w:t>依据的标准和规范</w:t>
      </w:r>
      <w:r>
        <w:tab/>
      </w:r>
      <w:r>
        <w:fldChar w:fldCharType="begin"/>
      </w:r>
      <w:r>
        <w:instrText xml:space="preserve"> PAGEREF _Toc4333 \h </w:instrText>
      </w:r>
      <w:r>
        <w:fldChar w:fldCharType="separate"/>
      </w:r>
      <w:r>
        <w:t>3</w:t>
      </w:r>
      <w:r>
        <w:fldChar w:fldCharType="end"/>
      </w:r>
      <w:r>
        <w:rPr>
          <w:rFonts w:asciiTheme="minorEastAsia" w:hAnsiTheme="minorEastAsia" w:eastAsiaTheme="minorEastAsia"/>
          <w:color w:val="auto"/>
          <w:szCs w:val="44"/>
          <w:highlight w:val="none"/>
        </w:rPr>
        <w:fldChar w:fldCharType="end"/>
      </w:r>
    </w:p>
    <w:p w14:paraId="3D81E2B7">
      <w:pPr>
        <w:pStyle w:val="20"/>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_Toc9677 </w:instrText>
      </w:r>
      <w:r>
        <w:rPr>
          <w:rFonts w:asciiTheme="minorEastAsia" w:hAnsiTheme="minorEastAsia" w:eastAsiaTheme="minorEastAsia"/>
          <w:szCs w:val="44"/>
          <w:highlight w:val="none"/>
        </w:rPr>
        <w:fldChar w:fldCharType="separate"/>
      </w:r>
      <w:r>
        <w:rPr>
          <w:rFonts w:hint="eastAsia" w:asciiTheme="majorEastAsia" w:hAnsiTheme="majorEastAsia" w:eastAsiaTheme="majorEastAsia"/>
          <w:i w:val="0"/>
        </w:rPr>
        <w:t xml:space="preserve">二、 </w:t>
      </w:r>
      <w:r>
        <w:rPr>
          <w:rFonts w:hint="eastAsia" w:asciiTheme="minorEastAsia" w:hAnsiTheme="minorEastAsia" w:eastAsiaTheme="minorEastAsia"/>
          <w:highlight w:val="none"/>
        </w:rPr>
        <w:t>项目描述</w:t>
      </w:r>
      <w:r>
        <w:tab/>
      </w:r>
      <w:r>
        <w:fldChar w:fldCharType="begin"/>
      </w:r>
      <w:r>
        <w:instrText xml:space="preserve"> PAGEREF _Toc9677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48F3FB5A">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_Toc14840 </w:instrText>
      </w:r>
      <w:r>
        <w:rPr>
          <w:rFonts w:asciiTheme="minorEastAsia" w:hAnsiTheme="minorEastAsia" w:eastAsiaTheme="minorEastAsia"/>
          <w:szCs w:val="44"/>
          <w:highlight w:val="none"/>
        </w:rPr>
        <w:fldChar w:fldCharType="separate"/>
      </w:r>
      <w:r>
        <w:rPr>
          <w:rFonts w:hint="eastAsia"/>
          <w:szCs w:val="24"/>
        </w:rPr>
        <w:t xml:space="preserve">2.1 </w:t>
      </w:r>
      <w:r>
        <w:rPr>
          <w:rFonts w:hint="eastAsia"/>
          <w:szCs w:val="24"/>
          <w:highlight w:val="none"/>
        </w:rPr>
        <w:t>项目背景</w:t>
      </w:r>
      <w:r>
        <w:tab/>
      </w:r>
      <w:r>
        <w:fldChar w:fldCharType="begin"/>
      </w:r>
      <w:r>
        <w:instrText xml:space="preserve"> PAGEREF _Toc14840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31240823">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_Toc22277 </w:instrText>
      </w:r>
      <w:r>
        <w:rPr>
          <w:rFonts w:asciiTheme="minorEastAsia" w:hAnsiTheme="minorEastAsia" w:eastAsiaTheme="minorEastAsia"/>
          <w:szCs w:val="44"/>
          <w:highlight w:val="none"/>
        </w:rPr>
        <w:fldChar w:fldCharType="separate"/>
      </w:r>
      <w:r>
        <w:rPr>
          <w:rFonts w:hint="eastAsia"/>
          <w:szCs w:val="24"/>
        </w:rPr>
        <w:t xml:space="preserve">2.2 </w:t>
      </w:r>
      <w:r>
        <w:rPr>
          <w:rFonts w:hint="eastAsia"/>
          <w:szCs w:val="24"/>
          <w:highlight w:val="none"/>
        </w:rPr>
        <w:t>项目目标</w:t>
      </w:r>
      <w:r>
        <w:tab/>
      </w:r>
      <w:r>
        <w:fldChar w:fldCharType="begin"/>
      </w:r>
      <w:r>
        <w:instrText xml:space="preserve"> PAGEREF _Toc22277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793B3A23">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_Toc15719 </w:instrText>
      </w:r>
      <w:r>
        <w:rPr>
          <w:rFonts w:asciiTheme="minorEastAsia" w:hAnsiTheme="minorEastAsia" w:eastAsiaTheme="minorEastAsia"/>
          <w:szCs w:val="44"/>
          <w:highlight w:val="none"/>
        </w:rPr>
        <w:fldChar w:fldCharType="separate"/>
      </w:r>
      <w:r>
        <w:rPr>
          <w:rFonts w:hint="eastAsia"/>
          <w:szCs w:val="24"/>
        </w:rPr>
        <w:t xml:space="preserve">2.3 </w:t>
      </w:r>
      <w:r>
        <w:rPr>
          <w:rFonts w:hint="eastAsia"/>
          <w:szCs w:val="24"/>
          <w:highlight w:val="none"/>
        </w:rPr>
        <w:t>项目范围</w:t>
      </w:r>
      <w:r>
        <w:tab/>
      </w:r>
      <w:r>
        <w:fldChar w:fldCharType="begin"/>
      </w:r>
      <w:r>
        <w:instrText xml:space="preserve"> PAGEREF _Toc15719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53D255DC">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_Toc13076 </w:instrText>
      </w:r>
      <w:r>
        <w:rPr>
          <w:rFonts w:asciiTheme="minorEastAsia" w:hAnsiTheme="minorEastAsia" w:eastAsiaTheme="minorEastAsia"/>
          <w:szCs w:val="44"/>
          <w:highlight w:val="none"/>
        </w:rPr>
        <w:fldChar w:fldCharType="separate"/>
      </w:r>
      <w:r>
        <w:rPr>
          <w:rFonts w:hint="eastAsia"/>
        </w:rPr>
        <w:t xml:space="preserve">2.4 </w:t>
      </w:r>
      <w:r>
        <w:rPr>
          <w:rFonts w:hint="eastAsia"/>
          <w:highlight w:val="none"/>
        </w:rPr>
        <w:t>工程保证</w:t>
      </w:r>
      <w:r>
        <w:tab/>
      </w:r>
      <w:r>
        <w:fldChar w:fldCharType="begin"/>
      </w:r>
      <w:r>
        <w:instrText xml:space="preserve"> PAGEREF _Toc13076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4DEA8C9B">
      <w:pPr>
        <w:pStyle w:val="20"/>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_Toc29506 </w:instrText>
      </w:r>
      <w:r>
        <w:rPr>
          <w:rFonts w:asciiTheme="minorEastAsia" w:hAnsiTheme="minorEastAsia" w:eastAsiaTheme="minorEastAsia"/>
          <w:szCs w:val="44"/>
          <w:highlight w:val="none"/>
        </w:rPr>
        <w:fldChar w:fldCharType="separate"/>
      </w:r>
      <w:r>
        <w:rPr>
          <w:rFonts w:hint="eastAsia" w:asciiTheme="majorEastAsia" w:hAnsiTheme="majorEastAsia" w:eastAsiaTheme="majorEastAsia"/>
          <w:i w:val="0"/>
        </w:rPr>
        <w:t xml:space="preserve">三、 </w:t>
      </w:r>
      <w:r>
        <w:rPr>
          <w:rFonts w:hint="eastAsia" w:asciiTheme="minorEastAsia" w:hAnsiTheme="minorEastAsia" w:eastAsiaTheme="minorEastAsia"/>
          <w:highlight w:val="none"/>
        </w:rPr>
        <w:t>项目内容与要求</w:t>
      </w:r>
      <w:r>
        <w:tab/>
      </w:r>
      <w:r>
        <w:fldChar w:fldCharType="begin"/>
      </w:r>
      <w:r>
        <w:instrText xml:space="preserve"> PAGEREF _Toc29506 \h </w:instrText>
      </w:r>
      <w:r>
        <w:fldChar w:fldCharType="separate"/>
      </w:r>
      <w:r>
        <w:t>5</w:t>
      </w:r>
      <w:r>
        <w:fldChar w:fldCharType="end"/>
      </w:r>
      <w:r>
        <w:rPr>
          <w:rFonts w:asciiTheme="minorEastAsia" w:hAnsiTheme="minorEastAsia" w:eastAsiaTheme="minorEastAsia"/>
          <w:color w:val="auto"/>
          <w:szCs w:val="44"/>
          <w:highlight w:val="none"/>
        </w:rPr>
        <w:fldChar w:fldCharType="end"/>
      </w:r>
    </w:p>
    <w:p w14:paraId="63FB649E">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_Toc15365 </w:instrText>
      </w:r>
      <w:r>
        <w:rPr>
          <w:rFonts w:asciiTheme="minorEastAsia" w:hAnsiTheme="minorEastAsia" w:eastAsiaTheme="minorEastAsia"/>
          <w:szCs w:val="44"/>
          <w:highlight w:val="none"/>
        </w:rPr>
        <w:fldChar w:fldCharType="separate"/>
      </w:r>
      <w:r>
        <w:rPr>
          <w:rFonts w:hint="eastAsia"/>
        </w:rPr>
        <w:t xml:space="preserve">3.1 </w:t>
      </w:r>
      <w:r>
        <w:rPr>
          <w:rFonts w:hint="eastAsia"/>
          <w:highlight w:val="none"/>
        </w:rPr>
        <w:t>项目准备工作</w:t>
      </w:r>
      <w:r>
        <w:tab/>
      </w:r>
      <w:r>
        <w:fldChar w:fldCharType="begin"/>
      </w:r>
      <w:r>
        <w:instrText xml:space="preserve"> PAGEREF _Toc15365 \h </w:instrText>
      </w:r>
      <w:r>
        <w:fldChar w:fldCharType="separate"/>
      </w:r>
      <w:r>
        <w:t>5</w:t>
      </w:r>
      <w:r>
        <w:fldChar w:fldCharType="end"/>
      </w:r>
      <w:r>
        <w:rPr>
          <w:rFonts w:asciiTheme="minorEastAsia" w:hAnsiTheme="minorEastAsia" w:eastAsiaTheme="minorEastAsia"/>
          <w:color w:val="auto"/>
          <w:szCs w:val="44"/>
          <w:highlight w:val="none"/>
        </w:rPr>
        <w:fldChar w:fldCharType="end"/>
      </w:r>
    </w:p>
    <w:p w14:paraId="35ABC9EB">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_Toc16135 </w:instrText>
      </w:r>
      <w:r>
        <w:rPr>
          <w:rFonts w:asciiTheme="minorEastAsia" w:hAnsiTheme="minorEastAsia" w:eastAsiaTheme="minorEastAsia"/>
          <w:szCs w:val="44"/>
          <w:highlight w:val="none"/>
        </w:rPr>
        <w:fldChar w:fldCharType="separate"/>
      </w:r>
      <w:r>
        <w:rPr>
          <w:rFonts w:hint="eastAsia"/>
        </w:rPr>
        <w:t xml:space="preserve">3.2 </w:t>
      </w:r>
      <w:r>
        <w:rPr>
          <w:rFonts w:hint="eastAsia"/>
          <w:highlight w:val="none"/>
        </w:rPr>
        <w:t>维护服务内容</w:t>
      </w:r>
      <w:r>
        <w:tab/>
      </w:r>
      <w:r>
        <w:fldChar w:fldCharType="begin"/>
      </w:r>
      <w:r>
        <w:instrText xml:space="preserve"> PAGEREF _Toc16135 \h </w:instrText>
      </w:r>
      <w:r>
        <w:fldChar w:fldCharType="separate"/>
      </w:r>
      <w:r>
        <w:t>5</w:t>
      </w:r>
      <w:r>
        <w:fldChar w:fldCharType="end"/>
      </w:r>
      <w:r>
        <w:rPr>
          <w:rFonts w:asciiTheme="minorEastAsia" w:hAnsiTheme="minorEastAsia" w:eastAsiaTheme="minorEastAsia"/>
          <w:color w:val="auto"/>
          <w:szCs w:val="44"/>
          <w:highlight w:val="none"/>
        </w:rPr>
        <w:fldChar w:fldCharType="end"/>
      </w:r>
    </w:p>
    <w:p w14:paraId="6C6B1A84">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_Toc29329 </w:instrText>
      </w:r>
      <w:r>
        <w:rPr>
          <w:rFonts w:asciiTheme="minorEastAsia" w:hAnsiTheme="minorEastAsia" w:eastAsiaTheme="minorEastAsia"/>
          <w:szCs w:val="44"/>
          <w:highlight w:val="none"/>
        </w:rPr>
        <w:fldChar w:fldCharType="separate"/>
      </w:r>
      <w:r>
        <w:rPr>
          <w:rFonts w:hint="eastAsia"/>
        </w:rPr>
        <w:t xml:space="preserve">3.3 </w:t>
      </w:r>
      <w:r>
        <w:rPr>
          <w:rFonts w:hint="eastAsia"/>
          <w:highlight w:val="none"/>
        </w:rPr>
        <w:t>项目参与人员要求</w:t>
      </w:r>
      <w:r>
        <w:tab/>
      </w:r>
      <w:r>
        <w:fldChar w:fldCharType="begin"/>
      </w:r>
      <w:r>
        <w:instrText xml:space="preserve"> PAGEREF _Toc29329 \h </w:instrText>
      </w:r>
      <w:r>
        <w:fldChar w:fldCharType="separate"/>
      </w:r>
      <w:r>
        <w:t>12</w:t>
      </w:r>
      <w:r>
        <w:fldChar w:fldCharType="end"/>
      </w:r>
      <w:r>
        <w:rPr>
          <w:rFonts w:asciiTheme="minorEastAsia" w:hAnsiTheme="minorEastAsia" w:eastAsiaTheme="minorEastAsia"/>
          <w:color w:val="auto"/>
          <w:szCs w:val="44"/>
          <w:highlight w:val="none"/>
        </w:rPr>
        <w:fldChar w:fldCharType="end"/>
      </w:r>
    </w:p>
    <w:p w14:paraId="7299470B">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_Toc25840 </w:instrText>
      </w:r>
      <w:r>
        <w:rPr>
          <w:rFonts w:asciiTheme="minorEastAsia" w:hAnsiTheme="minorEastAsia" w:eastAsiaTheme="minorEastAsia"/>
          <w:szCs w:val="44"/>
          <w:highlight w:val="none"/>
        </w:rPr>
        <w:fldChar w:fldCharType="separate"/>
      </w:r>
      <w:r>
        <w:rPr>
          <w:rFonts w:hint="eastAsia"/>
        </w:rPr>
        <w:t xml:space="preserve">3.4 </w:t>
      </w:r>
      <w:r>
        <w:rPr>
          <w:highlight w:val="none"/>
        </w:rPr>
        <w:t>项目验收要求</w:t>
      </w:r>
      <w:r>
        <w:tab/>
      </w:r>
      <w:r>
        <w:fldChar w:fldCharType="begin"/>
      </w:r>
      <w:r>
        <w:instrText xml:space="preserve"> PAGEREF _Toc25840 \h </w:instrText>
      </w:r>
      <w:r>
        <w:fldChar w:fldCharType="separate"/>
      </w:r>
      <w:r>
        <w:t>12</w:t>
      </w:r>
      <w:r>
        <w:fldChar w:fldCharType="end"/>
      </w:r>
      <w:r>
        <w:rPr>
          <w:rFonts w:asciiTheme="minorEastAsia" w:hAnsiTheme="minorEastAsia" w:eastAsiaTheme="minorEastAsia"/>
          <w:color w:val="auto"/>
          <w:szCs w:val="44"/>
          <w:highlight w:val="none"/>
        </w:rPr>
        <w:fldChar w:fldCharType="end"/>
      </w:r>
    </w:p>
    <w:p w14:paraId="36AF23B0">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_Toc24269 </w:instrText>
      </w:r>
      <w:r>
        <w:rPr>
          <w:rFonts w:asciiTheme="minorEastAsia" w:hAnsiTheme="minorEastAsia" w:eastAsiaTheme="minorEastAsia"/>
          <w:szCs w:val="44"/>
          <w:highlight w:val="none"/>
        </w:rPr>
        <w:fldChar w:fldCharType="separate"/>
      </w:r>
      <w:r>
        <w:rPr>
          <w:rFonts w:hint="eastAsia"/>
        </w:rPr>
        <w:t xml:space="preserve">3.5 </w:t>
      </w:r>
      <w:r>
        <w:rPr>
          <w:highlight w:val="none"/>
        </w:rPr>
        <w:t>技术服务要求</w:t>
      </w:r>
      <w:r>
        <w:tab/>
      </w:r>
      <w:r>
        <w:fldChar w:fldCharType="begin"/>
      </w:r>
      <w:r>
        <w:instrText xml:space="preserve"> PAGEREF _Toc24269 \h </w:instrText>
      </w:r>
      <w:r>
        <w:fldChar w:fldCharType="separate"/>
      </w:r>
      <w:r>
        <w:t>12</w:t>
      </w:r>
      <w:r>
        <w:fldChar w:fldCharType="end"/>
      </w:r>
      <w:r>
        <w:rPr>
          <w:rFonts w:asciiTheme="minorEastAsia" w:hAnsiTheme="minorEastAsia" w:eastAsiaTheme="minorEastAsia"/>
          <w:color w:val="auto"/>
          <w:szCs w:val="44"/>
          <w:highlight w:val="none"/>
        </w:rPr>
        <w:fldChar w:fldCharType="end"/>
      </w:r>
    </w:p>
    <w:p w14:paraId="26E25B0F">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_Toc22141 </w:instrText>
      </w:r>
      <w:r>
        <w:rPr>
          <w:rFonts w:asciiTheme="minorEastAsia" w:hAnsiTheme="minorEastAsia" w:eastAsiaTheme="minorEastAsia"/>
          <w:szCs w:val="44"/>
          <w:highlight w:val="none"/>
        </w:rPr>
        <w:fldChar w:fldCharType="separate"/>
      </w:r>
      <w:r>
        <w:rPr>
          <w:rFonts w:hint="eastAsia"/>
        </w:rPr>
        <w:t xml:space="preserve">3.6 </w:t>
      </w:r>
      <w:r>
        <w:rPr>
          <w:highlight w:val="none"/>
        </w:rPr>
        <w:t>设备维护保障要求</w:t>
      </w:r>
      <w:r>
        <w:tab/>
      </w:r>
      <w:r>
        <w:fldChar w:fldCharType="begin"/>
      </w:r>
      <w:r>
        <w:instrText xml:space="preserve"> PAGEREF _Toc22141 \h </w:instrText>
      </w:r>
      <w:r>
        <w:fldChar w:fldCharType="separate"/>
      </w:r>
      <w:r>
        <w:t>15</w:t>
      </w:r>
      <w:r>
        <w:fldChar w:fldCharType="end"/>
      </w:r>
      <w:r>
        <w:rPr>
          <w:rFonts w:asciiTheme="minorEastAsia" w:hAnsiTheme="minorEastAsia" w:eastAsiaTheme="minorEastAsia"/>
          <w:color w:val="auto"/>
          <w:szCs w:val="44"/>
          <w:highlight w:val="none"/>
        </w:rPr>
        <w:fldChar w:fldCharType="end"/>
      </w:r>
    </w:p>
    <w:p w14:paraId="7676A845">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_Toc30472 </w:instrText>
      </w:r>
      <w:r>
        <w:rPr>
          <w:rFonts w:asciiTheme="minorEastAsia" w:hAnsiTheme="minorEastAsia" w:eastAsiaTheme="minorEastAsia"/>
          <w:szCs w:val="44"/>
          <w:highlight w:val="none"/>
        </w:rPr>
        <w:fldChar w:fldCharType="separate"/>
      </w:r>
      <w:r>
        <w:rPr>
          <w:rFonts w:hint="eastAsia"/>
        </w:rPr>
        <w:t xml:space="preserve">3.7 </w:t>
      </w:r>
      <w:r>
        <w:rPr>
          <w:rFonts w:hint="eastAsia"/>
          <w:highlight w:val="none"/>
        </w:rPr>
        <w:t>网络攻防演练专项要求</w:t>
      </w:r>
      <w:r>
        <w:tab/>
      </w:r>
      <w:r>
        <w:fldChar w:fldCharType="begin"/>
      </w:r>
      <w:r>
        <w:instrText xml:space="preserve"> PAGEREF _Toc30472 \h </w:instrText>
      </w:r>
      <w:r>
        <w:fldChar w:fldCharType="separate"/>
      </w:r>
      <w:r>
        <w:t>16</w:t>
      </w:r>
      <w:r>
        <w:fldChar w:fldCharType="end"/>
      </w:r>
      <w:r>
        <w:rPr>
          <w:rFonts w:asciiTheme="minorEastAsia" w:hAnsiTheme="minorEastAsia" w:eastAsiaTheme="minorEastAsia"/>
          <w:color w:val="auto"/>
          <w:szCs w:val="44"/>
          <w:highlight w:val="none"/>
        </w:rPr>
        <w:fldChar w:fldCharType="end"/>
      </w:r>
    </w:p>
    <w:p w14:paraId="20993C14">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_Toc6215 </w:instrText>
      </w:r>
      <w:r>
        <w:rPr>
          <w:rFonts w:asciiTheme="minorEastAsia" w:hAnsiTheme="minorEastAsia" w:eastAsiaTheme="minorEastAsia"/>
          <w:szCs w:val="44"/>
          <w:highlight w:val="none"/>
        </w:rPr>
        <w:fldChar w:fldCharType="separate"/>
      </w:r>
      <w:r>
        <w:rPr>
          <w:rFonts w:hint="eastAsia" w:cs="宋体"/>
        </w:rPr>
        <w:t xml:space="preserve">3.8 </w:t>
      </w:r>
      <w:r>
        <w:rPr>
          <w:rFonts w:cs="宋体"/>
          <w:highlight w:val="none"/>
        </w:rPr>
        <w:t>服务管理制度规范要求</w:t>
      </w:r>
      <w:r>
        <w:tab/>
      </w:r>
      <w:r>
        <w:fldChar w:fldCharType="begin"/>
      </w:r>
      <w:r>
        <w:instrText xml:space="preserve"> PAGEREF _Toc6215 \h </w:instrText>
      </w:r>
      <w:r>
        <w:fldChar w:fldCharType="separate"/>
      </w:r>
      <w:r>
        <w:t>18</w:t>
      </w:r>
      <w:r>
        <w:fldChar w:fldCharType="end"/>
      </w:r>
      <w:r>
        <w:rPr>
          <w:rFonts w:asciiTheme="minorEastAsia" w:hAnsiTheme="minorEastAsia" w:eastAsiaTheme="minorEastAsia"/>
          <w:color w:val="auto"/>
          <w:szCs w:val="44"/>
          <w:highlight w:val="none"/>
        </w:rPr>
        <w:fldChar w:fldCharType="end"/>
      </w:r>
    </w:p>
    <w:p w14:paraId="643D1B67">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_Toc7897 </w:instrText>
      </w:r>
      <w:r>
        <w:rPr>
          <w:rFonts w:asciiTheme="minorEastAsia" w:hAnsiTheme="minorEastAsia" w:eastAsiaTheme="minorEastAsia"/>
          <w:szCs w:val="44"/>
          <w:highlight w:val="none"/>
        </w:rPr>
        <w:fldChar w:fldCharType="separate"/>
      </w:r>
      <w:r>
        <w:rPr>
          <w:rFonts w:hint="eastAsia" w:cs="宋体"/>
        </w:rPr>
        <w:t xml:space="preserve">3.9 </w:t>
      </w:r>
      <w:r>
        <w:rPr>
          <w:rFonts w:hint="eastAsia" w:cs="宋体"/>
          <w:highlight w:val="none"/>
        </w:rPr>
        <w:t>其他约定</w:t>
      </w:r>
      <w:r>
        <w:tab/>
      </w:r>
      <w:r>
        <w:fldChar w:fldCharType="begin"/>
      </w:r>
      <w:r>
        <w:instrText xml:space="preserve"> PAGEREF _Toc7897 \h </w:instrText>
      </w:r>
      <w:r>
        <w:fldChar w:fldCharType="separate"/>
      </w:r>
      <w:r>
        <w:t>18</w:t>
      </w:r>
      <w:r>
        <w:fldChar w:fldCharType="end"/>
      </w:r>
      <w:r>
        <w:rPr>
          <w:rFonts w:asciiTheme="minorEastAsia" w:hAnsiTheme="minorEastAsia" w:eastAsiaTheme="minorEastAsia"/>
          <w:color w:val="auto"/>
          <w:szCs w:val="44"/>
          <w:highlight w:val="none"/>
        </w:rPr>
        <w:fldChar w:fldCharType="end"/>
      </w:r>
    </w:p>
    <w:p w14:paraId="2000C72A">
      <w:pPr>
        <w:pStyle w:val="20"/>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_Toc13155 </w:instrText>
      </w:r>
      <w:r>
        <w:rPr>
          <w:rFonts w:asciiTheme="minorEastAsia" w:hAnsiTheme="minorEastAsia" w:eastAsiaTheme="minorEastAsia"/>
          <w:szCs w:val="44"/>
          <w:highlight w:val="none"/>
        </w:rPr>
        <w:fldChar w:fldCharType="separate"/>
      </w:r>
      <w:r>
        <w:rPr>
          <w:rFonts w:hint="eastAsia" w:asciiTheme="majorEastAsia" w:hAnsiTheme="majorEastAsia" w:eastAsiaTheme="majorEastAsia"/>
          <w:i w:val="0"/>
          <w:lang w:val="en-US" w:eastAsia="zh-CN"/>
        </w:rPr>
        <w:t xml:space="preserve">四、 </w:t>
      </w:r>
      <w:r>
        <w:rPr>
          <w:rFonts w:hint="eastAsia"/>
          <w:highlight w:val="none"/>
          <w:lang w:val="en-US" w:eastAsia="zh-CN"/>
        </w:rPr>
        <w:t>服务评价方式</w:t>
      </w:r>
      <w:r>
        <w:tab/>
      </w:r>
      <w:r>
        <w:fldChar w:fldCharType="begin"/>
      </w:r>
      <w:r>
        <w:instrText xml:space="preserve"> PAGEREF _Toc13155 \h </w:instrText>
      </w:r>
      <w:r>
        <w:fldChar w:fldCharType="separate"/>
      </w:r>
      <w:r>
        <w:t>19</w:t>
      </w:r>
      <w:r>
        <w:fldChar w:fldCharType="end"/>
      </w:r>
      <w:r>
        <w:rPr>
          <w:rFonts w:asciiTheme="minorEastAsia" w:hAnsiTheme="minorEastAsia" w:eastAsiaTheme="minorEastAsia"/>
          <w:color w:val="auto"/>
          <w:szCs w:val="44"/>
          <w:highlight w:val="none"/>
        </w:rPr>
        <w:fldChar w:fldCharType="end"/>
      </w:r>
    </w:p>
    <w:p w14:paraId="10B239AC">
      <w:pPr>
        <w:pStyle w:val="20"/>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_Toc1909 </w:instrText>
      </w:r>
      <w:r>
        <w:rPr>
          <w:rFonts w:asciiTheme="minorEastAsia" w:hAnsiTheme="minorEastAsia" w:eastAsiaTheme="minorEastAsia"/>
          <w:szCs w:val="44"/>
          <w:highlight w:val="none"/>
        </w:rPr>
        <w:fldChar w:fldCharType="separate"/>
      </w:r>
      <w:r>
        <w:rPr>
          <w:rFonts w:hint="eastAsia" w:asciiTheme="majorEastAsia" w:hAnsiTheme="majorEastAsia" w:eastAsiaTheme="majorEastAsia"/>
          <w:i w:val="0"/>
        </w:rPr>
        <w:t xml:space="preserve">五、 </w:t>
      </w:r>
      <w:r>
        <w:rPr>
          <w:rFonts w:hint="eastAsia" w:asciiTheme="minorEastAsia" w:hAnsiTheme="minorEastAsia" w:eastAsiaTheme="minorEastAsia"/>
          <w:highlight w:val="none"/>
        </w:rPr>
        <w:t>违约责任</w:t>
      </w:r>
      <w:r>
        <w:tab/>
      </w:r>
      <w:r>
        <w:fldChar w:fldCharType="begin"/>
      </w:r>
      <w:r>
        <w:instrText xml:space="preserve"> PAGEREF _Toc1909 \h </w:instrText>
      </w:r>
      <w:r>
        <w:fldChar w:fldCharType="separate"/>
      </w:r>
      <w:r>
        <w:t>20</w:t>
      </w:r>
      <w:r>
        <w:fldChar w:fldCharType="end"/>
      </w:r>
      <w:r>
        <w:rPr>
          <w:rFonts w:asciiTheme="minorEastAsia" w:hAnsiTheme="minorEastAsia" w:eastAsiaTheme="minorEastAsia"/>
          <w:color w:val="auto"/>
          <w:szCs w:val="44"/>
          <w:highlight w:val="none"/>
        </w:rPr>
        <w:fldChar w:fldCharType="end"/>
      </w:r>
    </w:p>
    <w:p w14:paraId="0B14CAC8">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_Toc30429 </w:instrText>
      </w:r>
      <w:r>
        <w:rPr>
          <w:rFonts w:asciiTheme="minorEastAsia" w:hAnsiTheme="minorEastAsia" w:eastAsiaTheme="minorEastAsia"/>
          <w:szCs w:val="44"/>
          <w:highlight w:val="none"/>
        </w:rPr>
        <w:fldChar w:fldCharType="separate"/>
      </w:r>
      <w:r>
        <w:rPr>
          <w:rFonts w:hint="eastAsia"/>
        </w:rPr>
        <w:t xml:space="preserve">5.1 </w:t>
      </w:r>
      <w:r>
        <w:rPr>
          <w:rFonts w:hint="eastAsia"/>
          <w:highlight w:val="none"/>
          <w:lang w:eastAsia="zh-CN"/>
        </w:rPr>
        <w:t>如发生违规或不符合要求的情况</w:t>
      </w:r>
      <w:r>
        <w:tab/>
      </w:r>
      <w:r>
        <w:fldChar w:fldCharType="begin"/>
      </w:r>
      <w:r>
        <w:instrText xml:space="preserve"> PAGEREF _Toc30429 \h </w:instrText>
      </w:r>
      <w:r>
        <w:fldChar w:fldCharType="separate"/>
      </w:r>
      <w:r>
        <w:t>20</w:t>
      </w:r>
      <w:r>
        <w:fldChar w:fldCharType="end"/>
      </w:r>
      <w:r>
        <w:rPr>
          <w:rFonts w:asciiTheme="minorEastAsia" w:hAnsiTheme="minorEastAsia" w:eastAsiaTheme="minorEastAsia"/>
          <w:color w:val="auto"/>
          <w:szCs w:val="44"/>
          <w:highlight w:val="none"/>
        </w:rPr>
        <w:fldChar w:fldCharType="end"/>
      </w:r>
    </w:p>
    <w:p w14:paraId="2F6F943E">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_Toc17339 </w:instrText>
      </w:r>
      <w:r>
        <w:rPr>
          <w:rFonts w:asciiTheme="minorEastAsia" w:hAnsiTheme="minorEastAsia" w:eastAsiaTheme="minorEastAsia"/>
          <w:szCs w:val="44"/>
          <w:highlight w:val="none"/>
        </w:rPr>
        <w:fldChar w:fldCharType="separate"/>
      </w:r>
      <w:r>
        <w:rPr>
          <w:rFonts w:hint="eastAsia"/>
        </w:rPr>
        <w:t xml:space="preserve">5.2 </w:t>
      </w:r>
      <w:r>
        <w:rPr>
          <w:rFonts w:hint="eastAsia"/>
          <w:highlight w:val="none"/>
        </w:rPr>
        <w:t>合同终止条款</w:t>
      </w:r>
      <w:r>
        <w:tab/>
      </w:r>
      <w:r>
        <w:fldChar w:fldCharType="begin"/>
      </w:r>
      <w:r>
        <w:instrText xml:space="preserve"> PAGEREF _Toc17339 \h </w:instrText>
      </w:r>
      <w:r>
        <w:fldChar w:fldCharType="separate"/>
      </w:r>
      <w:r>
        <w:t>21</w:t>
      </w:r>
      <w:r>
        <w:fldChar w:fldCharType="end"/>
      </w:r>
      <w:r>
        <w:rPr>
          <w:rFonts w:asciiTheme="minorEastAsia" w:hAnsiTheme="minorEastAsia" w:eastAsiaTheme="minorEastAsia"/>
          <w:color w:val="auto"/>
          <w:szCs w:val="44"/>
          <w:highlight w:val="none"/>
        </w:rPr>
        <w:fldChar w:fldCharType="end"/>
      </w:r>
    </w:p>
    <w:p w14:paraId="704A9D9F">
      <w:pPr>
        <w:pStyle w:val="15"/>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_Toc12821 </w:instrText>
      </w:r>
      <w:r>
        <w:rPr>
          <w:rFonts w:asciiTheme="minorEastAsia" w:hAnsiTheme="minorEastAsia" w:eastAsiaTheme="minorEastAsia"/>
          <w:szCs w:val="44"/>
          <w:highlight w:val="none"/>
        </w:rPr>
        <w:fldChar w:fldCharType="separate"/>
      </w:r>
      <w:r>
        <w:rPr>
          <w:rFonts w:hint="eastAsia"/>
        </w:rPr>
        <w:t xml:space="preserve">5.3 </w:t>
      </w:r>
      <w:r>
        <w:rPr>
          <w:rFonts w:hint="eastAsia"/>
          <w:highlight w:val="none"/>
        </w:rPr>
        <w:t>评分扣款说明</w:t>
      </w:r>
      <w:r>
        <w:tab/>
      </w:r>
      <w:r>
        <w:fldChar w:fldCharType="begin"/>
      </w:r>
      <w:r>
        <w:instrText xml:space="preserve"> PAGEREF _Toc12821 \h </w:instrText>
      </w:r>
      <w:r>
        <w:fldChar w:fldCharType="separate"/>
      </w:r>
      <w:r>
        <w:t>21</w:t>
      </w:r>
      <w:r>
        <w:fldChar w:fldCharType="end"/>
      </w:r>
      <w:r>
        <w:rPr>
          <w:rFonts w:asciiTheme="minorEastAsia" w:hAnsiTheme="minorEastAsia" w:eastAsiaTheme="minorEastAsia"/>
          <w:color w:val="auto"/>
          <w:szCs w:val="44"/>
          <w:highlight w:val="none"/>
        </w:rPr>
        <w:fldChar w:fldCharType="end"/>
      </w:r>
    </w:p>
    <w:p w14:paraId="0EAB58AA">
      <w:pPr>
        <w:pStyle w:val="20"/>
        <w:tabs>
          <w:tab w:val="right" w:leader="dot" w:pos="9923"/>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_Toc13720 </w:instrText>
      </w:r>
      <w:r>
        <w:rPr>
          <w:rFonts w:asciiTheme="minorEastAsia" w:hAnsiTheme="minorEastAsia" w:eastAsiaTheme="minorEastAsia"/>
          <w:szCs w:val="44"/>
          <w:highlight w:val="none"/>
        </w:rPr>
        <w:fldChar w:fldCharType="separate"/>
      </w:r>
      <w:r>
        <w:rPr>
          <w:rFonts w:hint="eastAsia" w:asciiTheme="majorEastAsia" w:hAnsiTheme="majorEastAsia" w:eastAsiaTheme="majorEastAsia"/>
          <w:i w:val="0"/>
        </w:rPr>
        <w:t xml:space="preserve">六、 </w:t>
      </w:r>
      <w:r>
        <w:rPr>
          <w:rFonts w:hint="eastAsia" w:asciiTheme="minorEastAsia" w:hAnsiTheme="minorEastAsia" w:eastAsiaTheme="minorEastAsia"/>
          <w:highlight w:val="none"/>
        </w:rPr>
        <w:t>效力说明</w:t>
      </w:r>
      <w:r>
        <w:tab/>
      </w:r>
      <w:r>
        <w:fldChar w:fldCharType="begin"/>
      </w:r>
      <w:r>
        <w:instrText xml:space="preserve"> PAGEREF _Toc13720 \h </w:instrText>
      </w:r>
      <w:r>
        <w:fldChar w:fldCharType="separate"/>
      </w:r>
      <w:r>
        <w:t>21</w:t>
      </w:r>
      <w:r>
        <w:fldChar w:fldCharType="end"/>
      </w:r>
      <w:r>
        <w:rPr>
          <w:rFonts w:asciiTheme="minorEastAsia" w:hAnsiTheme="minorEastAsia" w:eastAsiaTheme="minorEastAsia"/>
          <w:color w:val="auto"/>
          <w:szCs w:val="44"/>
          <w:highlight w:val="none"/>
        </w:rPr>
        <w:fldChar w:fldCharType="end"/>
      </w:r>
    </w:p>
    <w:p w14:paraId="62BC8D6A">
      <w:pPr>
        <w:jc w:val="center"/>
        <w:rPr>
          <w:rFonts w:asciiTheme="minorEastAsia" w:hAnsiTheme="minorEastAsia" w:eastAsiaTheme="minorEastAsia"/>
          <w:color w:val="auto"/>
          <w:sz w:val="44"/>
          <w:szCs w:val="44"/>
          <w:highlight w:val="none"/>
        </w:rPr>
      </w:pPr>
      <w:r>
        <w:rPr>
          <w:rFonts w:asciiTheme="minorEastAsia" w:hAnsiTheme="minorEastAsia" w:eastAsiaTheme="minorEastAsia"/>
          <w:color w:val="auto"/>
          <w:szCs w:val="44"/>
          <w:highlight w:val="none"/>
        </w:rPr>
        <w:fldChar w:fldCharType="end"/>
      </w:r>
    </w:p>
    <w:p w14:paraId="07CBE8FB">
      <w:pPr>
        <w:widowControl/>
        <w:jc w:val="left"/>
        <w:rPr>
          <w:rFonts w:asciiTheme="minorEastAsia" w:hAnsiTheme="minorEastAsia" w:eastAsiaTheme="minorEastAsia"/>
          <w:color w:val="auto"/>
          <w:sz w:val="44"/>
          <w:szCs w:val="44"/>
          <w:highlight w:val="none"/>
        </w:rPr>
      </w:pPr>
      <w:r>
        <w:rPr>
          <w:rFonts w:asciiTheme="minorEastAsia" w:hAnsiTheme="minorEastAsia" w:eastAsiaTheme="minorEastAsia"/>
          <w:color w:val="auto"/>
          <w:sz w:val="44"/>
          <w:szCs w:val="44"/>
          <w:highlight w:val="none"/>
        </w:rPr>
        <w:br w:type="page"/>
      </w:r>
    </w:p>
    <w:p w14:paraId="11523389">
      <w:pPr>
        <w:pStyle w:val="5"/>
        <w:rPr>
          <w:rFonts w:asciiTheme="minorEastAsia" w:hAnsiTheme="minorEastAsia" w:eastAsiaTheme="minorEastAsia"/>
          <w:b w:val="0"/>
          <w:color w:val="auto"/>
          <w:highlight w:val="none"/>
        </w:rPr>
      </w:pPr>
      <w:bookmarkStart w:id="0" w:name="_Toc31472"/>
      <w:r>
        <w:rPr>
          <w:rFonts w:hint="eastAsia" w:asciiTheme="minorEastAsia" w:hAnsiTheme="minorEastAsia" w:eastAsiaTheme="minorEastAsia"/>
          <w:color w:val="auto"/>
          <w:highlight w:val="none"/>
        </w:rPr>
        <w:t>总则</w:t>
      </w:r>
      <w:bookmarkEnd w:id="0"/>
    </w:p>
    <w:p w14:paraId="47E2C6E2">
      <w:pPr>
        <w:pStyle w:val="6"/>
        <w:rPr>
          <w:color w:val="auto"/>
          <w:highlight w:val="none"/>
        </w:rPr>
      </w:pPr>
      <w:bookmarkStart w:id="1" w:name="_Toc21476"/>
      <w:r>
        <w:rPr>
          <w:color w:val="auto"/>
          <w:highlight w:val="none"/>
        </w:rPr>
        <w:t>概述</w:t>
      </w:r>
      <w:bookmarkEnd w:id="1"/>
    </w:p>
    <w:p w14:paraId="073E91B2">
      <w:pPr>
        <w:spacing w:line="360" w:lineRule="auto"/>
        <w:ind w:firstLine="424" w:firstLineChars="202"/>
        <w:rPr>
          <w:rFonts w:ascii="宋体" w:hAnsi="宋体"/>
          <w:color w:val="auto"/>
          <w:highlight w:val="none"/>
          <w:lang w:val="zh-CN"/>
        </w:rPr>
      </w:pPr>
      <w:r>
        <w:rPr>
          <w:rFonts w:hint="eastAsia" w:ascii="宋体" w:hAnsi="宋体"/>
          <w:color w:val="auto"/>
          <w:highlight w:val="none"/>
          <w:lang w:val="zh-CN"/>
        </w:rPr>
        <w:t>本招标文件适用于广东电网有限责任公司广州供电局“</w:t>
      </w:r>
      <w:r>
        <w:rPr>
          <w:rFonts w:hint="eastAsia" w:ascii="宋体" w:hAnsi="宋体"/>
          <w:color w:val="auto"/>
          <w:highlight w:val="none"/>
          <w:lang w:val="zh-CN" w:eastAsia="zh-CN"/>
        </w:rPr>
        <w:t>2026年广州供电局客服中心营业厅配套设备修理</w:t>
      </w:r>
      <w:r>
        <w:rPr>
          <w:rFonts w:hint="eastAsia" w:ascii="宋体" w:hAnsi="宋体"/>
          <w:color w:val="auto"/>
          <w:highlight w:val="none"/>
          <w:lang w:val="zh-CN"/>
        </w:rPr>
        <w:t>”项目，本招标文件的所有解释权归广东电网有限责任公司广州供电局。</w:t>
      </w:r>
    </w:p>
    <w:p w14:paraId="5CCBA935">
      <w:pPr>
        <w:spacing w:line="360" w:lineRule="auto"/>
        <w:ind w:firstLine="424" w:firstLineChars="202"/>
        <w:rPr>
          <w:rFonts w:ascii="宋体" w:hAnsi="宋体"/>
          <w:color w:val="auto"/>
          <w:highlight w:val="none"/>
          <w:lang w:val="zh-CN"/>
        </w:rPr>
      </w:pPr>
      <w:r>
        <w:rPr>
          <w:rFonts w:hint="eastAsia" w:ascii="宋体" w:hAnsi="宋体"/>
          <w:color w:val="auto"/>
          <w:highlight w:val="none"/>
          <w:lang w:val="zh-CN"/>
        </w:rPr>
        <w:t>本招标文件提出了本次招标项目的技术要求和实施技术指标要求，可供投标人编写投标文件之用。</w:t>
      </w:r>
    </w:p>
    <w:p w14:paraId="01BC8B9D">
      <w:pPr>
        <w:spacing w:line="360" w:lineRule="auto"/>
        <w:ind w:firstLine="424" w:firstLineChars="202"/>
        <w:rPr>
          <w:rFonts w:ascii="宋体" w:hAnsi="宋体"/>
          <w:color w:val="auto"/>
          <w:highlight w:val="none"/>
          <w:lang w:val="zh-CN"/>
        </w:rPr>
      </w:pPr>
      <w:r>
        <w:rPr>
          <w:rFonts w:hint="eastAsia" w:ascii="宋体" w:hAnsi="宋体"/>
          <w:color w:val="auto"/>
          <w:highlight w:val="none"/>
          <w:lang w:val="zh-CN"/>
        </w:rPr>
        <w:t>投标人应按照本招标文件的要求提供详细、完整的技术投标书。该技术投标书应完全满足或高于本招标文件要求，对于本招标文件中的某些部分，投标人如不能满足要求，或有其它替代方案，或有其它修改建议，应在技术投标书中指出其必须进行修改的理由以及与原要求的差别，否则，招标人即认为投标人可以满足本招标文件的要求。</w:t>
      </w:r>
    </w:p>
    <w:p w14:paraId="5B6A150C">
      <w:pPr>
        <w:spacing w:line="360" w:lineRule="auto"/>
        <w:ind w:firstLine="424" w:firstLineChars="202"/>
        <w:rPr>
          <w:rFonts w:ascii="宋体" w:hAnsi="宋体"/>
          <w:color w:val="auto"/>
          <w:highlight w:val="none"/>
          <w:lang w:val="zh-CN"/>
        </w:rPr>
      </w:pPr>
      <w:r>
        <w:rPr>
          <w:rFonts w:hint="eastAsia" w:ascii="宋体" w:hAnsi="宋体"/>
          <w:color w:val="auto"/>
          <w:highlight w:val="none"/>
          <w:lang w:val="zh-CN"/>
        </w:rPr>
        <w:t>所有招标人认为是本招标文件范围所要求而被遗漏的项目，都被认为是包含在本次招标范围内，投标人的报价被视为包含此遗漏项目的报价。投标人可以就投标人认为的遗漏项目提醒招标人注意，并详细说明理由。招标人将就此进行澄清。</w:t>
      </w:r>
    </w:p>
    <w:p w14:paraId="5C9E6DA8">
      <w:pPr>
        <w:spacing w:line="360" w:lineRule="auto"/>
        <w:ind w:firstLine="424" w:firstLineChars="202"/>
        <w:rPr>
          <w:rFonts w:ascii="宋体" w:hAnsi="宋体"/>
          <w:color w:val="auto"/>
          <w:highlight w:val="none"/>
          <w:lang w:val="zh-CN"/>
        </w:rPr>
      </w:pPr>
      <w:r>
        <w:rPr>
          <w:rFonts w:hint="eastAsia" w:ascii="宋体" w:hAnsi="宋体"/>
          <w:color w:val="auto"/>
          <w:highlight w:val="none"/>
          <w:lang w:val="zh-CN"/>
        </w:rPr>
        <w:t>投标人应保证所提供的所有资料真实、完整、准确无误，否则招标人将有权取消投标人的中标资格，由此产生的一切后果由投标人承担。</w:t>
      </w:r>
    </w:p>
    <w:p w14:paraId="1C19B121">
      <w:pPr>
        <w:pStyle w:val="6"/>
        <w:rPr>
          <w:color w:val="auto"/>
          <w:highlight w:val="none"/>
        </w:rPr>
      </w:pPr>
      <w:bookmarkStart w:id="2" w:name="_Toc7426"/>
      <w:r>
        <w:rPr>
          <w:color w:val="auto"/>
          <w:highlight w:val="none"/>
        </w:rPr>
        <w:t>定义</w:t>
      </w:r>
      <w:bookmarkEnd w:id="2"/>
    </w:p>
    <w:p w14:paraId="248ADEF2">
      <w:pPr>
        <w:pStyle w:val="14"/>
        <w:numPr>
          <w:ilvl w:val="0"/>
          <w:numId w:val="2"/>
        </w:numPr>
        <w:adjustRightInd w:val="0"/>
        <w:snapToGrid w:val="0"/>
        <w:spacing w:before="156" w:beforeLines="50" w:after="156" w:afterLines="50"/>
        <w:ind w:leftChars="0"/>
        <w:rPr>
          <w:rFonts w:ascii="宋体" w:hAnsi="宋体"/>
          <w:color w:val="auto"/>
          <w:highlight w:val="none"/>
        </w:rPr>
      </w:pPr>
      <w:r>
        <w:rPr>
          <w:rFonts w:hint="eastAsia" w:ascii="宋体" w:hAnsi="宋体"/>
          <w:color w:val="auto"/>
          <w:highlight w:val="none"/>
        </w:rPr>
        <w:t>招标人：广东电网有限责任公司广州供电局。</w:t>
      </w:r>
    </w:p>
    <w:p w14:paraId="02072C89">
      <w:pPr>
        <w:pStyle w:val="14"/>
        <w:numPr>
          <w:ilvl w:val="0"/>
          <w:numId w:val="2"/>
        </w:numPr>
        <w:adjustRightInd w:val="0"/>
        <w:snapToGrid w:val="0"/>
        <w:spacing w:before="156" w:beforeLines="50" w:after="156" w:afterLines="50"/>
        <w:ind w:leftChars="0"/>
        <w:rPr>
          <w:rFonts w:ascii="宋体" w:hAnsi="宋体"/>
          <w:color w:val="auto"/>
          <w:highlight w:val="none"/>
        </w:rPr>
      </w:pPr>
      <w:r>
        <w:rPr>
          <w:rFonts w:hint="eastAsia" w:ascii="宋体" w:hAnsi="宋体"/>
          <w:color w:val="auto"/>
          <w:highlight w:val="none"/>
          <w:lang w:eastAsia="zh-CN"/>
        </w:rPr>
        <w:t>投标人</w:t>
      </w:r>
      <w:r>
        <w:rPr>
          <w:rFonts w:hint="eastAsia" w:ascii="宋体" w:hAnsi="宋体"/>
          <w:color w:val="auto"/>
          <w:highlight w:val="none"/>
        </w:rPr>
        <w:t>：</w:t>
      </w:r>
      <w:r>
        <w:rPr>
          <w:rFonts w:hint="eastAsia" w:ascii="宋体" w:hAnsi="宋体"/>
          <w:color w:val="auto"/>
          <w:szCs w:val="24"/>
          <w:highlight w:val="none"/>
        </w:rPr>
        <w:t>指响应招标、参加投标竞争的法人</w:t>
      </w:r>
      <w:r>
        <w:rPr>
          <w:rFonts w:hint="eastAsia" w:ascii="宋体" w:hAnsi="宋体"/>
          <w:color w:val="auto"/>
          <w:highlight w:val="none"/>
        </w:rPr>
        <w:t>。</w:t>
      </w:r>
    </w:p>
    <w:p w14:paraId="58279792">
      <w:pPr>
        <w:pStyle w:val="14"/>
        <w:numPr>
          <w:ilvl w:val="0"/>
          <w:numId w:val="2"/>
        </w:numPr>
        <w:adjustRightInd w:val="0"/>
        <w:snapToGrid w:val="0"/>
        <w:spacing w:before="156" w:beforeLines="50" w:after="156" w:afterLines="50"/>
        <w:ind w:leftChars="0"/>
        <w:rPr>
          <w:rFonts w:ascii="宋体" w:hAnsi="宋体"/>
          <w:color w:val="auto"/>
          <w:highlight w:val="none"/>
        </w:rPr>
      </w:pPr>
      <w:r>
        <w:rPr>
          <w:rFonts w:hint="eastAsia" w:ascii="宋体" w:hAnsi="宋体"/>
          <w:color w:val="auto"/>
          <w:highlight w:val="none"/>
        </w:rPr>
        <w:t>中标人：经过评标，被授予合同的</w:t>
      </w:r>
      <w:r>
        <w:rPr>
          <w:rFonts w:hint="eastAsia" w:ascii="宋体" w:hAnsi="宋体"/>
          <w:color w:val="auto"/>
          <w:highlight w:val="none"/>
          <w:lang w:eastAsia="zh-CN"/>
        </w:rPr>
        <w:t>投标人</w:t>
      </w:r>
      <w:r>
        <w:rPr>
          <w:rFonts w:hint="eastAsia" w:ascii="宋体" w:hAnsi="宋体"/>
          <w:color w:val="auto"/>
          <w:highlight w:val="none"/>
        </w:rPr>
        <w:t>。</w:t>
      </w:r>
    </w:p>
    <w:p w14:paraId="55E23953">
      <w:pPr>
        <w:pStyle w:val="6"/>
        <w:rPr>
          <w:color w:val="auto"/>
          <w:szCs w:val="24"/>
          <w:highlight w:val="none"/>
        </w:rPr>
      </w:pPr>
      <w:bookmarkStart w:id="3" w:name="_Toc392634969"/>
      <w:bookmarkStart w:id="4" w:name="_Toc4333"/>
      <w:bookmarkStart w:id="5" w:name="_Toc257207483"/>
      <w:bookmarkStart w:id="6" w:name="_Toc392634963"/>
      <w:r>
        <w:rPr>
          <w:rFonts w:hint="eastAsia"/>
          <w:color w:val="auto"/>
          <w:szCs w:val="24"/>
          <w:highlight w:val="none"/>
        </w:rPr>
        <w:t>依据的标准和规范</w:t>
      </w:r>
      <w:bookmarkEnd w:id="3"/>
      <w:bookmarkEnd w:id="4"/>
    </w:p>
    <w:p w14:paraId="43081A92">
      <w:pPr>
        <w:spacing w:line="360" w:lineRule="auto"/>
        <w:ind w:firstLine="424" w:firstLineChars="202"/>
        <w:rPr>
          <w:rFonts w:ascii="宋体" w:hAnsi="宋体"/>
          <w:color w:val="auto"/>
          <w:highlight w:val="none"/>
          <w:lang w:val="zh-CN"/>
        </w:rPr>
      </w:pPr>
      <w:r>
        <w:rPr>
          <w:rFonts w:hint="eastAsia" w:ascii="宋体" w:hAnsi="宋体"/>
          <w:color w:val="auto"/>
          <w:highlight w:val="none"/>
          <w:lang w:val="zh-CN"/>
        </w:rPr>
        <w:t>本协议适用标准如下：</w:t>
      </w:r>
    </w:p>
    <w:bookmarkEnd w:id="5"/>
    <w:bookmarkEnd w:id="6"/>
    <w:p w14:paraId="2601B66D">
      <w:pPr>
        <w:numPr>
          <w:ilvl w:val="0"/>
          <w:numId w:val="3"/>
        </w:numPr>
        <w:spacing w:line="360" w:lineRule="auto"/>
        <w:ind w:left="0" w:firstLine="482"/>
        <w:rPr>
          <w:color w:val="auto"/>
          <w:highlight w:val="none"/>
        </w:rPr>
      </w:pPr>
      <w:bookmarkStart w:id="7" w:name="_Toc306301136"/>
      <w:bookmarkEnd w:id="7"/>
      <w:bookmarkStart w:id="8" w:name="_Toc306287413"/>
      <w:bookmarkEnd w:id="8"/>
      <w:bookmarkStart w:id="9" w:name="_Toc306301086"/>
      <w:bookmarkEnd w:id="9"/>
      <w:bookmarkStart w:id="10" w:name="_Toc306301107"/>
      <w:bookmarkEnd w:id="10"/>
      <w:bookmarkStart w:id="11" w:name="_Toc306287395"/>
      <w:bookmarkEnd w:id="11"/>
      <w:bookmarkStart w:id="12" w:name="_Toc306301104"/>
      <w:bookmarkEnd w:id="12"/>
      <w:bookmarkStart w:id="13" w:name="_Toc306301128"/>
      <w:bookmarkEnd w:id="13"/>
      <w:bookmarkStart w:id="14" w:name="_Toc306287425"/>
      <w:bookmarkEnd w:id="14"/>
      <w:bookmarkStart w:id="15" w:name="_Toc306287399"/>
      <w:bookmarkEnd w:id="15"/>
      <w:bookmarkStart w:id="16" w:name="_Toc306287384"/>
      <w:bookmarkEnd w:id="16"/>
      <w:bookmarkStart w:id="17" w:name="_Toc306301134"/>
      <w:bookmarkEnd w:id="17"/>
      <w:bookmarkStart w:id="18" w:name="_Toc306301093"/>
      <w:bookmarkEnd w:id="18"/>
      <w:bookmarkStart w:id="19" w:name="_Toc306287411"/>
      <w:bookmarkEnd w:id="19"/>
      <w:bookmarkStart w:id="20" w:name="_Toc306301100"/>
      <w:bookmarkEnd w:id="20"/>
      <w:bookmarkStart w:id="21" w:name="_Toc306287394"/>
      <w:bookmarkEnd w:id="21"/>
      <w:bookmarkStart w:id="22" w:name="_Toc306301133"/>
      <w:bookmarkEnd w:id="22"/>
      <w:bookmarkStart w:id="23" w:name="_Toc306287404"/>
      <w:bookmarkEnd w:id="23"/>
      <w:bookmarkStart w:id="24" w:name="_Toc306301088"/>
      <w:bookmarkEnd w:id="24"/>
      <w:bookmarkStart w:id="25" w:name="_Toc306301120"/>
      <w:bookmarkEnd w:id="25"/>
      <w:bookmarkStart w:id="26" w:name="_Toc306287429"/>
      <w:bookmarkEnd w:id="26"/>
      <w:bookmarkStart w:id="27" w:name="_Toc306301101"/>
      <w:bookmarkEnd w:id="27"/>
      <w:bookmarkStart w:id="28" w:name="_Toc306287380"/>
      <w:bookmarkEnd w:id="28"/>
      <w:bookmarkStart w:id="29" w:name="_Toc306287386"/>
      <w:bookmarkEnd w:id="29"/>
      <w:bookmarkStart w:id="30" w:name="_Toc306287379"/>
      <w:bookmarkEnd w:id="30"/>
      <w:bookmarkStart w:id="31" w:name="_Toc306301113"/>
      <w:bookmarkEnd w:id="31"/>
      <w:bookmarkStart w:id="32" w:name="_Toc306287426"/>
      <w:bookmarkEnd w:id="32"/>
      <w:bookmarkStart w:id="33" w:name="_Toc306287381"/>
      <w:bookmarkEnd w:id="33"/>
      <w:bookmarkStart w:id="34" w:name="_Toc306287419"/>
      <w:bookmarkEnd w:id="34"/>
      <w:bookmarkStart w:id="35" w:name="_Toc306287410"/>
      <w:bookmarkEnd w:id="35"/>
      <w:bookmarkStart w:id="36" w:name="_Toc306301085"/>
      <w:bookmarkEnd w:id="36"/>
      <w:bookmarkStart w:id="37" w:name="_Toc312850936"/>
      <w:bookmarkEnd w:id="37"/>
      <w:bookmarkStart w:id="38" w:name="_Toc306301110"/>
      <w:bookmarkEnd w:id="38"/>
      <w:bookmarkStart w:id="39" w:name="_Toc306301131"/>
      <w:bookmarkEnd w:id="39"/>
      <w:bookmarkStart w:id="40" w:name="_Toc306287420"/>
      <w:bookmarkEnd w:id="40"/>
      <w:bookmarkStart w:id="41" w:name="_Toc306301099"/>
      <w:bookmarkEnd w:id="41"/>
      <w:bookmarkStart w:id="42" w:name="_Toc306287421"/>
      <w:bookmarkEnd w:id="42"/>
      <w:bookmarkStart w:id="43" w:name="_Toc306287408"/>
      <w:bookmarkEnd w:id="43"/>
      <w:bookmarkStart w:id="44" w:name="_Toc306301118"/>
      <w:bookmarkEnd w:id="44"/>
      <w:bookmarkStart w:id="45" w:name="_Toc306301109"/>
      <w:bookmarkEnd w:id="45"/>
      <w:bookmarkStart w:id="46" w:name="_Toc306287409"/>
      <w:bookmarkEnd w:id="46"/>
      <w:bookmarkStart w:id="47" w:name="_Toc306301084"/>
      <w:bookmarkEnd w:id="47"/>
      <w:bookmarkStart w:id="48" w:name="_Toc306301126"/>
      <w:bookmarkEnd w:id="48"/>
      <w:bookmarkStart w:id="49" w:name="_Toc306301098"/>
      <w:bookmarkEnd w:id="49"/>
      <w:bookmarkStart w:id="50" w:name="_Toc306287383"/>
      <w:bookmarkEnd w:id="50"/>
      <w:bookmarkStart w:id="51" w:name="_Toc306287389"/>
      <w:bookmarkEnd w:id="51"/>
      <w:bookmarkStart w:id="52" w:name="_Toc306301105"/>
      <w:bookmarkEnd w:id="52"/>
      <w:bookmarkStart w:id="53" w:name="_Toc306287406"/>
      <w:bookmarkEnd w:id="53"/>
      <w:bookmarkStart w:id="54" w:name="_Toc306301111"/>
      <w:bookmarkEnd w:id="54"/>
      <w:bookmarkStart w:id="55" w:name="_Toc306301129"/>
      <w:bookmarkEnd w:id="55"/>
      <w:bookmarkStart w:id="56" w:name="_Toc306287427"/>
      <w:bookmarkEnd w:id="56"/>
      <w:bookmarkStart w:id="57" w:name="_Toc312850937"/>
      <w:bookmarkEnd w:id="57"/>
      <w:bookmarkStart w:id="58" w:name="_Toc306301096"/>
      <w:bookmarkEnd w:id="58"/>
      <w:bookmarkStart w:id="59" w:name="_Toc306301106"/>
      <w:bookmarkEnd w:id="59"/>
      <w:bookmarkStart w:id="60" w:name="_Toc306301102"/>
      <w:bookmarkEnd w:id="60"/>
      <w:bookmarkStart w:id="61" w:name="_Toc306287424"/>
      <w:bookmarkEnd w:id="61"/>
      <w:bookmarkStart w:id="62" w:name="_Toc306287396"/>
      <w:bookmarkEnd w:id="62"/>
      <w:bookmarkStart w:id="63" w:name="_Toc306301095"/>
      <w:bookmarkEnd w:id="63"/>
      <w:bookmarkStart w:id="64" w:name="_Toc306301108"/>
      <w:bookmarkEnd w:id="64"/>
      <w:bookmarkStart w:id="65" w:name="_Toc306287400"/>
      <w:bookmarkEnd w:id="65"/>
      <w:bookmarkStart w:id="66" w:name="_Toc306287398"/>
      <w:bookmarkEnd w:id="66"/>
      <w:bookmarkStart w:id="67" w:name="_Toc306301103"/>
      <w:bookmarkEnd w:id="67"/>
      <w:bookmarkStart w:id="68" w:name="_Toc306301119"/>
      <w:bookmarkEnd w:id="68"/>
      <w:bookmarkStart w:id="69" w:name="_Toc306287392"/>
      <w:bookmarkEnd w:id="69"/>
      <w:bookmarkStart w:id="70" w:name="_Toc306301112"/>
      <w:bookmarkEnd w:id="70"/>
      <w:bookmarkStart w:id="71" w:name="_Toc306287402"/>
      <w:bookmarkEnd w:id="71"/>
      <w:bookmarkStart w:id="72" w:name="_Toc306287388"/>
      <w:bookmarkEnd w:id="72"/>
      <w:bookmarkStart w:id="73" w:name="_Toc306287391"/>
      <w:bookmarkEnd w:id="73"/>
      <w:bookmarkStart w:id="74" w:name="_Toc306301090"/>
      <w:bookmarkEnd w:id="74"/>
      <w:bookmarkStart w:id="75" w:name="_Toc306301127"/>
      <w:bookmarkEnd w:id="75"/>
      <w:bookmarkStart w:id="76" w:name="_Toc306287423"/>
      <w:bookmarkEnd w:id="76"/>
      <w:bookmarkStart w:id="77" w:name="_Toc306301116"/>
      <w:bookmarkEnd w:id="77"/>
      <w:bookmarkStart w:id="78" w:name="_Toc306287428"/>
      <w:bookmarkEnd w:id="78"/>
      <w:bookmarkStart w:id="79" w:name="_Toc306301117"/>
      <w:bookmarkEnd w:id="79"/>
      <w:bookmarkStart w:id="80" w:name="_Toc306287412"/>
      <w:bookmarkEnd w:id="80"/>
      <w:bookmarkStart w:id="81" w:name="_Toc306287405"/>
      <w:bookmarkEnd w:id="81"/>
      <w:bookmarkStart w:id="82" w:name="_Toc306301130"/>
      <w:bookmarkEnd w:id="82"/>
      <w:bookmarkStart w:id="83" w:name="_Toc306301125"/>
      <w:bookmarkEnd w:id="83"/>
      <w:bookmarkStart w:id="84" w:name="_Toc306287403"/>
      <w:bookmarkEnd w:id="84"/>
      <w:bookmarkStart w:id="85" w:name="_Toc306287418"/>
      <w:bookmarkEnd w:id="85"/>
      <w:bookmarkStart w:id="86" w:name="_Toc306301115"/>
      <w:bookmarkEnd w:id="86"/>
      <w:bookmarkStart w:id="87" w:name="_Toc306301132"/>
      <w:bookmarkEnd w:id="87"/>
      <w:bookmarkStart w:id="88" w:name="_Toc306287422"/>
      <w:bookmarkEnd w:id="88"/>
      <w:bookmarkStart w:id="89" w:name="_Toc306287387"/>
      <w:bookmarkEnd w:id="89"/>
      <w:bookmarkStart w:id="90" w:name="_Toc306287393"/>
      <w:bookmarkEnd w:id="90"/>
      <w:bookmarkStart w:id="91" w:name="_Toc306287397"/>
      <w:bookmarkEnd w:id="91"/>
      <w:bookmarkStart w:id="92" w:name="_Toc306301091"/>
      <w:bookmarkEnd w:id="92"/>
      <w:bookmarkStart w:id="93" w:name="_Toc306287401"/>
      <w:bookmarkEnd w:id="93"/>
      <w:bookmarkStart w:id="94" w:name="_Toc306301135"/>
      <w:bookmarkEnd w:id="94"/>
      <w:bookmarkStart w:id="95" w:name="_Toc306301087"/>
      <w:bookmarkEnd w:id="95"/>
      <w:bookmarkStart w:id="96" w:name="_Toc306301094"/>
      <w:bookmarkEnd w:id="96"/>
      <w:r>
        <w:rPr>
          <w:rFonts w:hint="eastAsia"/>
          <w:color w:val="auto"/>
          <w:highlight w:val="none"/>
        </w:rPr>
        <w:t>《中国南方电网有限责任公司中长期发展战略》</w:t>
      </w:r>
    </w:p>
    <w:p w14:paraId="0FE9D032">
      <w:pPr>
        <w:numPr>
          <w:ilvl w:val="0"/>
          <w:numId w:val="3"/>
        </w:numPr>
        <w:spacing w:line="360" w:lineRule="auto"/>
        <w:ind w:left="0" w:firstLine="482"/>
        <w:rPr>
          <w:color w:val="auto"/>
          <w:highlight w:val="none"/>
        </w:rPr>
      </w:pPr>
      <w:r>
        <w:rPr>
          <w:rFonts w:hint="eastAsia"/>
          <w:color w:val="auto"/>
          <w:highlight w:val="none"/>
        </w:rPr>
        <w:t>《中国南方电网有限责任公司“十</w:t>
      </w:r>
      <w:r>
        <w:rPr>
          <w:rFonts w:hint="eastAsia"/>
          <w:color w:val="auto"/>
          <w:highlight w:val="none"/>
          <w:lang w:val="en-US" w:eastAsia="zh-CN"/>
        </w:rPr>
        <w:t>四</w:t>
      </w:r>
      <w:r>
        <w:rPr>
          <w:rFonts w:hint="eastAsia"/>
          <w:color w:val="auto"/>
          <w:highlight w:val="none"/>
        </w:rPr>
        <w:t>五”信息化规划》</w:t>
      </w:r>
    </w:p>
    <w:p w14:paraId="265A6AEE">
      <w:pPr>
        <w:numPr>
          <w:ilvl w:val="0"/>
          <w:numId w:val="3"/>
        </w:numPr>
        <w:spacing w:line="360" w:lineRule="auto"/>
        <w:ind w:left="0" w:firstLine="482"/>
        <w:rPr>
          <w:rFonts w:ascii="宋体" w:hAnsi="宋体"/>
          <w:color w:val="auto"/>
          <w:highlight w:val="none"/>
        </w:rPr>
      </w:pPr>
      <w:r>
        <w:rPr>
          <w:rFonts w:hint="eastAsia" w:ascii="宋体" w:hAnsi="宋体"/>
          <w:color w:val="auto"/>
          <w:highlight w:val="none"/>
        </w:rPr>
        <w:t>《中国南方电网公司信息化领域一体化管理工作方案》</w:t>
      </w:r>
    </w:p>
    <w:p w14:paraId="6EC50002">
      <w:pPr>
        <w:numPr>
          <w:ilvl w:val="0"/>
          <w:numId w:val="3"/>
        </w:numPr>
        <w:spacing w:line="360" w:lineRule="auto"/>
        <w:ind w:left="0" w:firstLine="482"/>
        <w:rPr>
          <w:rFonts w:ascii="宋体" w:hAnsi="宋体"/>
          <w:color w:val="auto"/>
          <w:highlight w:val="none"/>
        </w:rPr>
      </w:pPr>
      <w:r>
        <w:rPr>
          <w:rFonts w:hint="eastAsia" w:ascii="宋体" w:hAnsi="宋体"/>
          <w:color w:val="auto"/>
          <w:highlight w:val="none"/>
        </w:rPr>
        <w:t>《中国南方电网公司信息安全保障体系》</w:t>
      </w:r>
    </w:p>
    <w:p w14:paraId="380C4B16">
      <w:pPr>
        <w:numPr>
          <w:ilvl w:val="0"/>
          <w:numId w:val="3"/>
        </w:numPr>
        <w:spacing w:line="360" w:lineRule="auto"/>
        <w:ind w:left="0" w:firstLine="482"/>
        <w:rPr>
          <w:rFonts w:ascii="宋体" w:hAnsi="宋体"/>
          <w:color w:val="auto"/>
          <w:highlight w:val="none"/>
        </w:rPr>
      </w:pPr>
      <w:r>
        <w:rPr>
          <w:rFonts w:hint="eastAsia" w:ascii="宋体" w:hAnsi="宋体"/>
          <w:color w:val="auto"/>
          <w:highlight w:val="none"/>
        </w:rPr>
        <w:t>《中国南方电网公司信息化工作管理规定》</w:t>
      </w:r>
    </w:p>
    <w:p w14:paraId="3D8009D5">
      <w:pPr>
        <w:numPr>
          <w:ilvl w:val="0"/>
          <w:numId w:val="3"/>
        </w:numPr>
        <w:spacing w:line="360" w:lineRule="auto"/>
        <w:ind w:left="0" w:firstLine="482"/>
        <w:rPr>
          <w:rFonts w:ascii="宋体" w:hAnsi="宋体"/>
          <w:color w:val="auto"/>
          <w:highlight w:val="none"/>
        </w:rPr>
      </w:pPr>
      <w:r>
        <w:rPr>
          <w:rFonts w:hint="eastAsia" w:ascii="宋体" w:hAnsi="宋体"/>
          <w:color w:val="auto"/>
          <w:highlight w:val="none"/>
        </w:rPr>
        <w:t>《中国南方电网公司信息化项目管理办法》</w:t>
      </w:r>
    </w:p>
    <w:p w14:paraId="06EC8BA7">
      <w:pPr>
        <w:numPr>
          <w:ilvl w:val="0"/>
          <w:numId w:val="3"/>
        </w:numPr>
        <w:spacing w:line="360" w:lineRule="auto"/>
        <w:ind w:left="0" w:firstLine="482"/>
        <w:rPr>
          <w:color w:val="auto"/>
          <w:highlight w:val="none"/>
        </w:rPr>
      </w:pPr>
      <w:r>
        <w:rPr>
          <w:rFonts w:hint="eastAsia" w:ascii="宋体" w:hAnsi="宋体"/>
          <w:color w:val="auto"/>
          <w:highlight w:val="none"/>
        </w:rPr>
        <w:t>《中国南方电网公司信息系统建设管理办法》</w:t>
      </w:r>
    </w:p>
    <w:p w14:paraId="13F97989">
      <w:pPr>
        <w:numPr>
          <w:ilvl w:val="0"/>
          <w:numId w:val="3"/>
        </w:numPr>
        <w:spacing w:line="360" w:lineRule="auto"/>
        <w:ind w:left="0" w:firstLine="482"/>
        <w:rPr>
          <w:color w:val="auto"/>
          <w:highlight w:val="none"/>
        </w:rPr>
      </w:pPr>
      <w:r>
        <w:rPr>
          <w:rFonts w:hint="eastAsia"/>
          <w:color w:val="auto"/>
          <w:highlight w:val="none"/>
        </w:rPr>
        <w:t>《中国南方电网有限责任公司企业信息集成平台建设规范》</w:t>
      </w:r>
    </w:p>
    <w:p w14:paraId="0797E554">
      <w:pPr>
        <w:numPr>
          <w:ilvl w:val="0"/>
          <w:numId w:val="3"/>
        </w:numPr>
        <w:spacing w:line="360" w:lineRule="auto"/>
        <w:ind w:left="0" w:firstLine="482"/>
        <w:rPr>
          <w:color w:val="auto"/>
          <w:highlight w:val="none"/>
        </w:rPr>
      </w:pPr>
      <w:r>
        <w:rPr>
          <w:rFonts w:hint="eastAsia"/>
          <w:color w:val="auto"/>
          <w:highlight w:val="none"/>
        </w:rPr>
        <w:t>《中国南方电网有限责任公司信息安全保障体系》</w:t>
      </w:r>
    </w:p>
    <w:p w14:paraId="00E571BA">
      <w:pPr>
        <w:numPr>
          <w:ilvl w:val="0"/>
          <w:numId w:val="3"/>
        </w:numPr>
        <w:spacing w:line="360" w:lineRule="auto"/>
        <w:ind w:left="0" w:firstLine="482"/>
        <w:rPr>
          <w:color w:val="auto"/>
          <w:highlight w:val="none"/>
        </w:rPr>
      </w:pPr>
      <w:r>
        <w:rPr>
          <w:rFonts w:hint="eastAsia"/>
          <w:color w:val="auto"/>
          <w:highlight w:val="none"/>
        </w:rPr>
        <w:t>《中国南方电网有限责任公司管理信息系统安全等级保护标准》</w:t>
      </w:r>
    </w:p>
    <w:p w14:paraId="5BE64B6D">
      <w:pPr>
        <w:pStyle w:val="5"/>
        <w:rPr>
          <w:rFonts w:asciiTheme="minorEastAsia" w:hAnsiTheme="minorEastAsia" w:eastAsiaTheme="minorEastAsia"/>
          <w:b w:val="0"/>
          <w:color w:val="auto"/>
          <w:highlight w:val="none"/>
        </w:rPr>
      </w:pPr>
      <w:bookmarkStart w:id="97" w:name="_Toc9677"/>
      <w:r>
        <w:rPr>
          <w:rFonts w:hint="eastAsia" w:asciiTheme="minorEastAsia" w:hAnsiTheme="minorEastAsia" w:eastAsiaTheme="minorEastAsia"/>
          <w:color w:val="auto"/>
          <w:highlight w:val="none"/>
        </w:rPr>
        <w:t>项目描述</w:t>
      </w:r>
      <w:bookmarkEnd w:id="97"/>
    </w:p>
    <w:p w14:paraId="5BB0263F">
      <w:pPr>
        <w:pStyle w:val="6"/>
        <w:rPr>
          <w:color w:val="auto"/>
          <w:szCs w:val="24"/>
          <w:highlight w:val="none"/>
        </w:rPr>
      </w:pPr>
      <w:bookmarkStart w:id="98" w:name="_Toc14840"/>
      <w:bookmarkStart w:id="99" w:name="_Toc392634971"/>
      <w:r>
        <w:rPr>
          <w:rFonts w:hint="eastAsia"/>
          <w:color w:val="auto"/>
          <w:szCs w:val="24"/>
          <w:highlight w:val="none"/>
        </w:rPr>
        <w:t>项目背景</w:t>
      </w:r>
      <w:bookmarkEnd w:id="98"/>
      <w:bookmarkEnd w:id="99"/>
    </w:p>
    <w:p w14:paraId="4B50D5E1">
      <w:pPr>
        <w:spacing w:line="360" w:lineRule="auto"/>
        <w:ind w:firstLine="420" w:firstLineChars="200"/>
        <w:rPr>
          <w:color w:val="auto"/>
          <w:highlight w:val="none"/>
        </w:rPr>
      </w:pPr>
      <w:r>
        <w:rPr>
          <w:rFonts w:hint="eastAsia"/>
          <w:color w:val="auto"/>
          <w:highlight w:val="none"/>
        </w:rPr>
        <w:t>广州供电局营业厅客户服务设备渠道建设的目标是成为广州供电局服务渠道的一个应用品牌，在供电客户中树立良好品牌形象，因此保证、维护</w:t>
      </w:r>
      <w:r>
        <w:rPr>
          <w:rFonts w:hint="eastAsia" w:ascii="宋体" w:hAnsi="宋体"/>
          <w:color w:val="auto"/>
          <w:highlight w:val="none"/>
          <w:lang w:val="zh-CN" w:eastAsia="zh-CN"/>
        </w:rPr>
        <w:t>营业厅配套设备</w:t>
      </w:r>
      <w:r>
        <w:rPr>
          <w:rFonts w:hint="eastAsia"/>
          <w:color w:val="auto"/>
          <w:highlight w:val="none"/>
        </w:rPr>
        <w:t>正常稳定运行至关重要。维护的重点是做好</w:t>
      </w:r>
      <w:r>
        <w:rPr>
          <w:rFonts w:hint="eastAsia" w:ascii="宋体" w:hAnsi="宋体"/>
          <w:color w:val="auto"/>
          <w:highlight w:val="none"/>
          <w:lang w:val="zh-CN" w:eastAsia="zh-CN"/>
        </w:rPr>
        <w:t>营业厅配套设备</w:t>
      </w:r>
      <w:r>
        <w:rPr>
          <w:rFonts w:hint="eastAsia"/>
          <w:color w:val="auto"/>
          <w:highlight w:val="none"/>
        </w:rPr>
        <w:t>运行保障以及最佳服务，同时建立主动式运维模式，形成系统化技术支持、运维管理、维护支撑体系的三层结构的营业厅客户服务设备运维规范。</w:t>
      </w:r>
    </w:p>
    <w:p w14:paraId="125B79C4">
      <w:pPr>
        <w:pStyle w:val="6"/>
        <w:rPr>
          <w:color w:val="auto"/>
          <w:szCs w:val="24"/>
          <w:highlight w:val="none"/>
        </w:rPr>
      </w:pPr>
      <w:bookmarkStart w:id="100" w:name="_Toc22277"/>
      <w:r>
        <w:rPr>
          <w:rFonts w:hint="eastAsia"/>
          <w:color w:val="auto"/>
          <w:szCs w:val="24"/>
          <w:highlight w:val="none"/>
        </w:rPr>
        <w:t>项目目标</w:t>
      </w:r>
      <w:bookmarkEnd w:id="100"/>
    </w:p>
    <w:p w14:paraId="26B1C140">
      <w:pPr>
        <w:spacing w:line="360" w:lineRule="auto"/>
        <w:ind w:firstLine="420" w:firstLineChars="200"/>
        <w:rPr>
          <w:rFonts w:hint="eastAsia" w:eastAsia="宋体" w:cs="Times New Roman"/>
          <w:lang w:val="en-US" w:eastAsia="zh-CN"/>
        </w:rPr>
      </w:pPr>
      <w:r>
        <w:rPr>
          <w:rFonts w:hint="eastAsia" w:eastAsia="宋体" w:cs="Times New Roman"/>
          <w:lang w:val="en-US" w:eastAsia="zh-CN"/>
        </w:rPr>
        <w:t>以“服务”为核心，通过统一运维的营业厅配套设备，打造“环境舒适、指引清晰、办理高效、响应及时”的供电营业厅。全业务自助终端与柜式终端互补，提高用户办事效率，实现业务“主动办、一次办”；排队叫号机精准分流，电子屏与广告机播放政策与服务信息，让客户“看得懂、等得少、办得快”；空调、视频监控与其他设备保障供电营业厅环境舒适、安全可控，潜移默化提升满意度。</w:t>
      </w:r>
    </w:p>
    <w:p w14:paraId="103B9924">
      <w:pPr>
        <w:spacing w:line="360" w:lineRule="auto"/>
        <w:ind w:firstLine="420" w:firstLineChars="200"/>
        <w:rPr>
          <w:color w:val="auto"/>
          <w:highlight w:val="none"/>
        </w:rPr>
      </w:pPr>
      <w:r>
        <w:rPr>
          <w:rFonts w:hint="eastAsia" w:eastAsia="宋体" w:cs="Times New Roman"/>
          <w:lang w:val="en-US" w:eastAsia="zh-CN"/>
        </w:rPr>
        <w:t>为降低营业厅人力与能耗、提升服务效能，实现“设备稳定、客户满意、运营高效”的三赢，为确保营业厅配套设备服务能正常运行</w:t>
      </w:r>
      <w:r>
        <w:rPr>
          <w:rFonts w:hint="eastAsia"/>
          <w:color w:val="auto"/>
          <w:highlight w:val="none"/>
        </w:rPr>
        <w:t>，需要组建一支专业、稳定的运维团队对</w:t>
      </w:r>
      <w:r>
        <w:rPr>
          <w:rFonts w:hint="eastAsia" w:ascii="宋体" w:hAnsi="宋体"/>
          <w:color w:val="auto"/>
          <w:highlight w:val="none"/>
          <w:lang w:val="zh-CN" w:eastAsia="zh-CN"/>
        </w:rPr>
        <w:t>营业厅配套设备</w:t>
      </w:r>
      <w:r>
        <w:rPr>
          <w:rFonts w:hint="eastAsia"/>
          <w:color w:val="auto"/>
          <w:highlight w:val="none"/>
        </w:rPr>
        <w:t>开展日常运维管理工作，保证</w:t>
      </w:r>
      <w:r>
        <w:rPr>
          <w:rFonts w:hint="eastAsia"/>
          <w:color w:val="auto"/>
          <w:highlight w:val="none"/>
          <w:lang w:eastAsia="zh-CN"/>
        </w:rPr>
        <w:t>营业厅</w:t>
      </w:r>
      <w:r>
        <w:rPr>
          <w:rFonts w:hint="eastAsia"/>
          <w:color w:val="auto"/>
          <w:highlight w:val="none"/>
        </w:rPr>
        <w:t>正常稳定运行。</w:t>
      </w:r>
    </w:p>
    <w:p w14:paraId="4AB203AE">
      <w:pPr>
        <w:pStyle w:val="6"/>
        <w:rPr>
          <w:color w:val="auto"/>
          <w:szCs w:val="24"/>
          <w:highlight w:val="none"/>
        </w:rPr>
      </w:pPr>
      <w:bookmarkStart w:id="101" w:name="_Toc15719"/>
      <w:r>
        <w:rPr>
          <w:rFonts w:hint="eastAsia"/>
          <w:color w:val="auto"/>
          <w:szCs w:val="24"/>
          <w:highlight w:val="none"/>
        </w:rPr>
        <w:t>项目范围</w:t>
      </w:r>
      <w:bookmarkEnd w:id="101"/>
    </w:p>
    <w:p w14:paraId="02660E5C">
      <w:pPr>
        <w:pStyle w:val="7"/>
        <w:tabs>
          <w:tab w:val="left" w:pos="720"/>
        </w:tabs>
        <w:ind w:left="720" w:hanging="720"/>
        <w:rPr>
          <w:color w:val="auto"/>
          <w:highlight w:val="none"/>
        </w:rPr>
      </w:pPr>
      <w:r>
        <w:rPr>
          <w:rFonts w:hint="eastAsia"/>
          <w:color w:val="auto"/>
          <w:highlight w:val="none"/>
        </w:rPr>
        <w:t>应用范围</w:t>
      </w:r>
    </w:p>
    <w:p w14:paraId="4081A441">
      <w:pPr>
        <w:spacing w:line="360" w:lineRule="auto"/>
        <w:ind w:firstLine="420" w:firstLineChars="200"/>
        <w:rPr>
          <w:color w:val="auto"/>
          <w:highlight w:val="none"/>
        </w:rPr>
      </w:pPr>
      <w:r>
        <w:rPr>
          <w:rFonts w:hint="eastAsia"/>
          <w:color w:val="auto"/>
          <w:highlight w:val="none"/>
        </w:rPr>
        <w:t>广东电网有限责任公司广州供电局。</w:t>
      </w:r>
    </w:p>
    <w:p w14:paraId="3D1E3B65">
      <w:pPr>
        <w:pStyle w:val="7"/>
        <w:tabs>
          <w:tab w:val="left" w:pos="720"/>
        </w:tabs>
        <w:ind w:left="720" w:hanging="720"/>
        <w:rPr>
          <w:color w:val="auto"/>
          <w:highlight w:val="none"/>
        </w:rPr>
      </w:pPr>
      <w:r>
        <w:rPr>
          <w:rFonts w:hint="eastAsia"/>
          <w:color w:val="auto"/>
          <w:highlight w:val="none"/>
        </w:rPr>
        <w:t>工作范围</w:t>
      </w:r>
    </w:p>
    <w:p w14:paraId="4D58D701">
      <w:pPr>
        <w:spacing w:line="360" w:lineRule="auto"/>
        <w:ind w:firstLine="420" w:firstLineChars="200"/>
        <w:rPr>
          <w:rFonts w:hint="eastAsia"/>
        </w:rPr>
      </w:pPr>
      <w:r>
        <w:rPr>
          <w:rFonts w:hint="eastAsia" w:ascii="宋体" w:hAnsi="宋体" w:cs="宋体"/>
          <w:vanish w:val="0"/>
          <w:color w:val="auto"/>
          <w:kern w:val="0"/>
          <w:sz w:val="21"/>
          <w:szCs w:val="21"/>
          <w:lang w:val="en-US" w:eastAsia="zh-CN" w:bidi="ar-SA"/>
        </w:rPr>
        <w:t>对广州市（不包含黄埔营业厅、荔城营业厅、从化城郊营业厅、华南营业厅、天河局本部营业厅、越秀营业厅、荔湾营业厅、海珠营业厅、白云营业厅、市桥营业厅、粤港澳大湾区电力营商环境广州体验中心11个营业厅设备）约62台全业务自助服务终端、约162台柜式自助服务终端、约40套排队叫号机、约48台广告机、约113件电子屏、约82台空调机、约25台打印机、约17件其他设备(投影设备、高拍仪、中控系统设备、电动汽车展示设备、网络安全设备等)、约44套视频监控设备的配套设备的整体、主要部件、配件和配套软件的故障问题开展巡查、修理工作。</w:t>
      </w:r>
    </w:p>
    <w:p w14:paraId="2D58B589">
      <w:pPr>
        <w:pStyle w:val="6"/>
        <w:rPr>
          <w:color w:val="auto"/>
          <w:highlight w:val="none"/>
        </w:rPr>
      </w:pPr>
      <w:bookmarkStart w:id="102" w:name="_Toc13076"/>
      <w:r>
        <w:rPr>
          <w:rFonts w:hint="eastAsia"/>
          <w:color w:val="auto"/>
          <w:highlight w:val="none"/>
        </w:rPr>
        <w:t>工程保证</w:t>
      </w:r>
      <w:bookmarkEnd w:id="102"/>
    </w:p>
    <w:p w14:paraId="680CE9B6">
      <w:pPr>
        <w:pStyle w:val="7"/>
        <w:tabs>
          <w:tab w:val="left" w:pos="720"/>
        </w:tabs>
        <w:ind w:left="720" w:hanging="720"/>
        <w:rPr>
          <w:color w:val="auto"/>
          <w:highlight w:val="none"/>
        </w:rPr>
      </w:pPr>
      <w:bookmarkStart w:id="103" w:name="_Toc453753061"/>
      <w:bookmarkStart w:id="104" w:name="_Toc257207489"/>
      <w:r>
        <w:rPr>
          <w:rFonts w:hint="eastAsia"/>
          <w:color w:val="auto"/>
          <w:highlight w:val="none"/>
        </w:rPr>
        <w:t>组织保证</w:t>
      </w:r>
      <w:bookmarkEnd w:id="103"/>
      <w:bookmarkEnd w:id="104"/>
    </w:p>
    <w:p w14:paraId="67DE9F16">
      <w:pPr>
        <w:numPr>
          <w:ilvl w:val="0"/>
          <w:numId w:val="4"/>
        </w:numPr>
        <w:tabs>
          <w:tab w:val="left" w:pos="450"/>
        </w:tabs>
        <w:spacing w:line="360" w:lineRule="auto"/>
        <w:ind w:left="0" w:firstLine="420" w:firstLineChars="200"/>
        <w:rPr>
          <w:color w:val="auto"/>
          <w:highlight w:val="none"/>
        </w:rPr>
      </w:pPr>
      <w:r>
        <w:rPr>
          <w:rFonts w:hint="eastAsia"/>
          <w:color w:val="auto"/>
          <w:highlight w:val="none"/>
        </w:rPr>
        <w:t>招标人有对</w:t>
      </w:r>
      <w:r>
        <w:rPr>
          <w:rFonts w:hint="eastAsia"/>
          <w:color w:val="auto"/>
          <w:highlight w:val="none"/>
          <w:lang w:val="en-US" w:eastAsia="zh-CN"/>
        </w:rPr>
        <w:t>中标</w:t>
      </w:r>
      <w:r>
        <w:rPr>
          <w:rFonts w:hint="eastAsia"/>
          <w:color w:val="auto"/>
          <w:highlight w:val="none"/>
        </w:rPr>
        <w:t>人所提供的参与本项目建设的人员进行面试的权力。</w:t>
      </w:r>
    </w:p>
    <w:p w14:paraId="05D79739">
      <w:pPr>
        <w:numPr>
          <w:ilvl w:val="0"/>
          <w:numId w:val="4"/>
        </w:numPr>
        <w:tabs>
          <w:tab w:val="left" w:pos="450"/>
        </w:tabs>
        <w:spacing w:line="360" w:lineRule="auto"/>
        <w:ind w:left="0" w:firstLine="420" w:firstLineChars="200"/>
        <w:rPr>
          <w:color w:val="auto"/>
          <w:highlight w:val="none"/>
        </w:rPr>
      </w:pPr>
      <w:r>
        <w:rPr>
          <w:rFonts w:hint="eastAsia"/>
          <w:color w:val="auto"/>
          <w:highlight w:val="none"/>
        </w:rPr>
        <w:t>项目团队中必须包含现场工作人员、应急人员、后台技术支持人员。</w:t>
      </w:r>
    </w:p>
    <w:p w14:paraId="09193F0B">
      <w:pPr>
        <w:numPr>
          <w:ilvl w:val="0"/>
          <w:numId w:val="4"/>
        </w:numPr>
        <w:tabs>
          <w:tab w:val="left" w:pos="450"/>
        </w:tabs>
        <w:spacing w:line="360" w:lineRule="auto"/>
        <w:ind w:left="0" w:firstLine="420" w:firstLineChars="200"/>
        <w:rPr>
          <w:color w:val="auto"/>
          <w:highlight w:val="none"/>
        </w:rPr>
      </w:pPr>
      <w:r>
        <w:rPr>
          <w:rFonts w:hint="eastAsia"/>
          <w:color w:val="auto"/>
          <w:highlight w:val="none"/>
          <w:lang w:val="en-US" w:eastAsia="zh-CN"/>
        </w:rPr>
        <w:t>中标</w:t>
      </w:r>
      <w:r>
        <w:rPr>
          <w:rFonts w:hint="eastAsia"/>
          <w:color w:val="auto"/>
          <w:highlight w:val="none"/>
        </w:rPr>
        <w:t>人进场时，必须向招标人提供拟派参加本项目的人员名单以及参加人员的资料。</w:t>
      </w:r>
    </w:p>
    <w:p w14:paraId="7DC30B9F">
      <w:pPr>
        <w:numPr>
          <w:ilvl w:val="0"/>
          <w:numId w:val="4"/>
        </w:numPr>
        <w:tabs>
          <w:tab w:val="left" w:pos="450"/>
        </w:tabs>
        <w:spacing w:line="360" w:lineRule="auto"/>
        <w:ind w:left="0" w:firstLine="420" w:firstLineChars="200"/>
        <w:rPr>
          <w:color w:val="auto"/>
          <w:highlight w:val="none"/>
        </w:rPr>
      </w:pPr>
      <w:r>
        <w:rPr>
          <w:rFonts w:hint="eastAsia"/>
          <w:color w:val="auto"/>
          <w:highlight w:val="none"/>
          <w:lang w:val="en-US" w:eastAsia="zh-CN"/>
        </w:rPr>
        <w:t>中标</w:t>
      </w:r>
      <w:r>
        <w:rPr>
          <w:rFonts w:hint="eastAsia"/>
          <w:color w:val="auto"/>
          <w:highlight w:val="none"/>
        </w:rPr>
        <w:t>人必须向招标人保证工程人员组织的稳定性，在本项目工程结束前，参加本项目的人员变动必须取得招标人同意。</w:t>
      </w:r>
    </w:p>
    <w:p w14:paraId="2A3DA74D">
      <w:pPr>
        <w:pStyle w:val="7"/>
        <w:tabs>
          <w:tab w:val="left" w:pos="720"/>
        </w:tabs>
        <w:ind w:left="720" w:hanging="720"/>
        <w:rPr>
          <w:color w:val="auto"/>
          <w:highlight w:val="none"/>
        </w:rPr>
      </w:pPr>
      <w:bookmarkStart w:id="105" w:name="_Toc257207490"/>
      <w:bookmarkStart w:id="106" w:name="_Toc453753062"/>
      <w:r>
        <w:rPr>
          <w:rFonts w:hint="eastAsia"/>
          <w:color w:val="auto"/>
          <w:highlight w:val="none"/>
        </w:rPr>
        <w:t>质量保证</w:t>
      </w:r>
      <w:bookmarkEnd w:id="105"/>
      <w:bookmarkEnd w:id="106"/>
    </w:p>
    <w:p w14:paraId="02FB7D6B">
      <w:pPr>
        <w:spacing w:line="360" w:lineRule="auto"/>
        <w:ind w:firstLine="420" w:firstLineChars="200"/>
        <w:rPr>
          <w:color w:val="auto"/>
          <w:highlight w:val="none"/>
        </w:rPr>
      </w:pPr>
      <w:r>
        <w:rPr>
          <w:rFonts w:hint="eastAsia"/>
          <w:color w:val="auto"/>
          <w:highlight w:val="none"/>
          <w:lang w:eastAsia="zh-CN"/>
        </w:rPr>
        <w:t>中标人</w:t>
      </w:r>
      <w:r>
        <w:rPr>
          <w:rFonts w:hint="eastAsia"/>
          <w:color w:val="auto"/>
          <w:highlight w:val="none"/>
        </w:rPr>
        <w:t>应保证所提供的实施服务满足本协议要求。</w:t>
      </w:r>
    </w:p>
    <w:p w14:paraId="3DBFC486">
      <w:pPr>
        <w:pStyle w:val="7"/>
        <w:tabs>
          <w:tab w:val="left" w:pos="720"/>
        </w:tabs>
        <w:ind w:left="720" w:hanging="720"/>
        <w:rPr>
          <w:color w:val="auto"/>
          <w:highlight w:val="none"/>
        </w:rPr>
      </w:pPr>
      <w:r>
        <w:rPr>
          <w:color w:val="auto"/>
          <w:highlight w:val="none"/>
        </w:rPr>
        <w:t>进度保证</w:t>
      </w:r>
    </w:p>
    <w:p w14:paraId="54EC8548">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项目工期从合同签订之日起至</w:t>
      </w:r>
      <w:r>
        <w:rPr>
          <w:rFonts w:hint="eastAsia"/>
          <w:color w:val="auto"/>
          <w:highlight w:val="none"/>
        </w:rPr>
        <w:t>202</w:t>
      </w:r>
      <w:r>
        <w:rPr>
          <w:rFonts w:hint="eastAsia"/>
          <w:color w:val="auto"/>
          <w:highlight w:val="none"/>
          <w:lang w:val="en-US" w:eastAsia="zh-CN"/>
        </w:rPr>
        <w:t>6</w:t>
      </w:r>
      <w:r>
        <w:rPr>
          <w:rFonts w:hint="eastAsia"/>
          <w:color w:val="auto"/>
          <w:highlight w:val="none"/>
        </w:rPr>
        <w:t>年12月31日</w:t>
      </w:r>
      <w:r>
        <w:rPr>
          <w:rFonts w:hint="eastAsia" w:ascii="宋体" w:hAnsi="宋体"/>
          <w:color w:val="auto"/>
          <w:spacing w:val="6"/>
          <w:szCs w:val="21"/>
          <w:highlight w:val="none"/>
        </w:rPr>
        <w:t>。</w:t>
      </w:r>
    </w:p>
    <w:p w14:paraId="032308FE">
      <w:pPr>
        <w:pStyle w:val="5"/>
        <w:rPr>
          <w:rFonts w:asciiTheme="minorEastAsia" w:hAnsiTheme="minorEastAsia" w:eastAsiaTheme="minorEastAsia"/>
          <w:b w:val="0"/>
          <w:color w:val="auto"/>
          <w:highlight w:val="none"/>
        </w:rPr>
      </w:pPr>
      <w:bookmarkStart w:id="107" w:name="_Toc29506"/>
      <w:r>
        <w:rPr>
          <w:rFonts w:hint="eastAsia" w:asciiTheme="minorEastAsia" w:hAnsiTheme="minorEastAsia" w:eastAsiaTheme="minorEastAsia"/>
          <w:color w:val="auto"/>
          <w:highlight w:val="none"/>
        </w:rPr>
        <w:t>项目内容与要求</w:t>
      </w:r>
      <w:bookmarkEnd w:id="107"/>
    </w:p>
    <w:p w14:paraId="43F9DDAD">
      <w:pPr>
        <w:pStyle w:val="6"/>
        <w:rPr>
          <w:color w:val="auto"/>
          <w:highlight w:val="none"/>
        </w:rPr>
      </w:pPr>
      <w:bookmarkStart w:id="108" w:name="_Toc15365"/>
      <w:r>
        <w:rPr>
          <w:rFonts w:hint="eastAsia"/>
          <w:color w:val="auto"/>
          <w:highlight w:val="none"/>
        </w:rPr>
        <w:t>项目准备工作</w:t>
      </w:r>
      <w:bookmarkEnd w:id="108"/>
    </w:p>
    <w:p w14:paraId="06BD0EAD">
      <w:pPr>
        <w:spacing w:line="360" w:lineRule="auto"/>
        <w:ind w:firstLine="420" w:firstLineChars="200"/>
        <w:rPr>
          <w:color w:val="auto"/>
          <w:highlight w:val="none"/>
        </w:rPr>
      </w:pPr>
      <w:r>
        <w:rPr>
          <w:rFonts w:hint="eastAsia"/>
          <w:color w:val="auto"/>
          <w:highlight w:val="none"/>
        </w:rPr>
        <w:t>开展项目准备，</w:t>
      </w:r>
      <w:r>
        <w:rPr>
          <w:rFonts w:hint="eastAsia"/>
          <w:color w:val="auto"/>
          <w:highlight w:val="none"/>
          <w:lang w:eastAsia="zh-CN"/>
        </w:rPr>
        <w:t>中标人</w:t>
      </w:r>
      <w:r>
        <w:rPr>
          <w:rFonts w:hint="eastAsia"/>
          <w:color w:val="auto"/>
          <w:highlight w:val="none"/>
        </w:rPr>
        <w:t>须熟悉招标人在相关业务管理、信息技术管理、信息化项目管控方面的制度与标准规范，并制定本项目管理章程。</w:t>
      </w:r>
    </w:p>
    <w:p w14:paraId="7307E07E">
      <w:pPr>
        <w:pStyle w:val="6"/>
        <w:rPr>
          <w:color w:val="auto"/>
          <w:highlight w:val="none"/>
        </w:rPr>
      </w:pPr>
      <w:bookmarkStart w:id="109" w:name="_Toc16135"/>
      <w:r>
        <w:rPr>
          <w:rFonts w:hint="eastAsia"/>
          <w:color w:val="auto"/>
          <w:highlight w:val="none"/>
        </w:rPr>
        <w:t>维护服务内容</w:t>
      </w:r>
      <w:bookmarkEnd w:id="109"/>
    </w:p>
    <w:p w14:paraId="3FE022A6">
      <w:pPr>
        <w:pStyle w:val="7"/>
        <w:rPr>
          <w:color w:val="auto"/>
          <w:highlight w:val="none"/>
        </w:rPr>
      </w:pPr>
      <w:r>
        <w:rPr>
          <w:rFonts w:hint="eastAsia"/>
          <w:color w:val="auto"/>
          <w:highlight w:val="none"/>
        </w:rPr>
        <w:t>服务内容概述</w:t>
      </w:r>
    </w:p>
    <w:p w14:paraId="4B0F9372">
      <w:pPr>
        <w:spacing w:line="360" w:lineRule="auto"/>
        <w:ind w:firstLine="420" w:firstLineChars="200"/>
        <w:rPr>
          <w:rFonts w:hint="eastAsia" w:eastAsia="宋体" w:cs="Times New Roman"/>
          <w:lang w:val="en-US" w:eastAsia="zh-CN"/>
        </w:rPr>
      </w:pPr>
      <w:r>
        <w:rPr>
          <w:rFonts w:hint="eastAsia"/>
        </w:rPr>
        <w:t>包括但不限于</w:t>
      </w:r>
      <w:r>
        <w:rPr>
          <w:rFonts w:hint="eastAsia"/>
          <w:lang w:val="en-US" w:eastAsia="zh-CN"/>
        </w:rPr>
        <w:t>以下</w:t>
      </w:r>
      <w:r>
        <w:rPr>
          <w:rFonts w:hint="eastAsia"/>
        </w:rPr>
        <w:t>工作：（依据：《</w:t>
      </w:r>
      <w:r>
        <w:rPr>
          <w:rFonts w:hint="eastAsia"/>
          <w:lang w:val="en-US" w:eastAsia="zh-CN"/>
        </w:rPr>
        <w:t>中国南方电网有限责任公司营销</w:t>
      </w:r>
      <w:r>
        <w:rPr>
          <w:rFonts w:hint="eastAsia"/>
        </w:rPr>
        <w:t>项目准入</w:t>
      </w:r>
      <w:r>
        <w:rPr>
          <w:rFonts w:hint="eastAsia"/>
          <w:lang w:val="en-US" w:eastAsia="zh-CN"/>
        </w:rPr>
        <w:t>条件</w:t>
      </w:r>
      <w:r>
        <w:rPr>
          <w:rFonts w:hint="eastAsia"/>
        </w:rPr>
        <w:t>及预</w:t>
      </w:r>
      <w:r>
        <w:rPr>
          <w:rFonts w:hint="eastAsia" w:eastAsia="宋体" w:cs="Times New Roman"/>
          <w:lang w:val="en-US" w:eastAsia="zh-CN"/>
        </w:rPr>
        <w:t>算标准（2025版）》）</w:t>
      </w:r>
    </w:p>
    <w:p w14:paraId="00D5C080">
      <w:pPr>
        <w:spacing w:line="360" w:lineRule="auto"/>
        <w:ind w:firstLine="420" w:firstLineChars="200"/>
        <w:rPr>
          <w:rFonts w:hint="eastAsia" w:eastAsia="宋体" w:cs="Times New Roman"/>
          <w:lang w:val="en-US" w:eastAsia="zh-CN"/>
        </w:rPr>
      </w:pPr>
      <w:r>
        <w:rPr>
          <w:rFonts w:hint="eastAsia" w:eastAsia="宋体" w:cs="Times New Roman"/>
          <w:lang w:val="en-US" w:eastAsia="zh-CN"/>
        </w:rPr>
        <w:t>对</w:t>
      </w:r>
      <w:r>
        <w:rPr>
          <w:rFonts w:hint="default" w:eastAsia="宋体" w:cs="Times New Roman"/>
          <w:lang w:val="en-US" w:eastAsia="zh-CN"/>
        </w:rPr>
        <w:t>自助服务终端、互动屏终端、客户身份证识别仪、售电终端、触摸一体机、电视机、广告机、票据打印机</w:t>
      </w:r>
      <w:r>
        <w:rPr>
          <w:rFonts w:hint="eastAsia" w:eastAsia="宋体" w:cs="Times New Roman"/>
          <w:lang w:val="en-US" w:eastAsia="zh-CN"/>
        </w:rPr>
        <w:t>（</w:t>
      </w:r>
      <w:r>
        <w:rPr>
          <w:rFonts w:hint="default" w:eastAsia="宋体" w:cs="Times New Roman"/>
          <w:lang w:val="en-US" w:eastAsia="zh-CN"/>
        </w:rPr>
        <w:t>高速</w:t>
      </w:r>
      <w:r>
        <w:rPr>
          <w:rFonts w:hint="eastAsia" w:eastAsia="宋体" w:cs="Times New Roman"/>
          <w:lang w:val="en-US" w:eastAsia="zh-CN"/>
        </w:rPr>
        <w:t>）</w:t>
      </w:r>
      <w:r>
        <w:rPr>
          <w:rFonts w:hint="default" w:eastAsia="宋体" w:cs="Times New Roman"/>
          <w:lang w:val="en-US" w:eastAsia="zh-CN"/>
        </w:rPr>
        <w:t>、增值税预约取票机、单据复印机、视频监控系统、DLP/LED电子显示屏、自动化运维巡检设备、营业厅服务人员坐席设备、智能互动服务终端</w:t>
      </w:r>
      <w:r>
        <w:rPr>
          <w:rFonts w:hint="eastAsia" w:eastAsia="宋体" w:cs="Times New Roman"/>
          <w:lang w:val="en-US" w:eastAsia="zh-CN"/>
        </w:rPr>
        <w:t>、</w:t>
      </w:r>
      <w:r>
        <w:rPr>
          <w:rFonts w:hint="default" w:eastAsia="宋体" w:cs="Times New Roman"/>
          <w:lang w:val="en-US" w:eastAsia="zh-CN"/>
        </w:rPr>
        <w:t>高拍仪、打印机、客流监测仪、排队叫号机、迎宾设备、电子屏、电子投屏、双屏显示设备、电子意见本、全息投影设备、VR、AR交互设备、评价器、除湿器、空调机、保险柜、录音电话机、</w:t>
      </w:r>
      <w:r>
        <w:rPr>
          <w:rFonts w:hint="eastAsia" w:eastAsia="宋体" w:cs="Times New Roman"/>
          <w:lang w:val="en-US" w:eastAsia="zh-CN"/>
        </w:rPr>
        <w:t>移动缴费终端、一卡通终端、</w:t>
      </w:r>
      <w:r>
        <w:rPr>
          <w:rFonts w:hint="default" w:eastAsia="宋体" w:cs="Times New Roman"/>
          <w:lang w:val="en-US" w:eastAsia="zh-CN"/>
        </w:rPr>
        <w:t>激光打印机及客户档案扫描仪等营业厅及营业点内配套设备的整体、主要部件、配件和配套软件的故障问题</w:t>
      </w:r>
      <w:r>
        <w:rPr>
          <w:rFonts w:hint="eastAsia" w:eastAsia="宋体" w:cs="Times New Roman"/>
          <w:lang w:val="en-US" w:eastAsia="zh-CN"/>
        </w:rPr>
        <w:t>开展巡查、修理工作。</w:t>
      </w:r>
    </w:p>
    <w:p w14:paraId="2BFA7C3A">
      <w:pPr>
        <w:spacing w:line="360" w:lineRule="auto"/>
        <w:ind w:firstLine="420" w:firstLineChars="200"/>
        <w:rPr>
          <w:rFonts w:hint="eastAsia" w:eastAsia="宋体" w:cs="Times New Roman"/>
          <w:lang w:val="en-US" w:eastAsia="zh-CN"/>
        </w:rPr>
      </w:pPr>
      <w:r>
        <w:rPr>
          <w:rFonts w:hint="eastAsia" w:eastAsia="宋体" w:cs="Times New Roman"/>
          <w:lang w:val="en-US" w:eastAsia="zh-CN"/>
        </w:rPr>
        <w:t>1.巡检：对服务范围内的所有设备按招标人要求开展按需巡检并提供运维报告，巡检内容：主机系统的运行状态检查、外部设备运行状态检查、连接件检查、设备环境检查、设备清洁保养、系统优化、隐患排查等；</w:t>
      </w:r>
    </w:p>
    <w:p w14:paraId="243D09B0">
      <w:pPr>
        <w:spacing w:line="360" w:lineRule="auto"/>
        <w:ind w:firstLine="420" w:firstLineChars="200"/>
        <w:rPr>
          <w:rFonts w:hint="eastAsia" w:eastAsia="宋体" w:cs="Times New Roman"/>
          <w:lang w:val="en-US" w:eastAsia="zh-CN"/>
        </w:rPr>
      </w:pPr>
      <w:r>
        <w:rPr>
          <w:rFonts w:hint="eastAsia" w:eastAsia="宋体" w:cs="Times New Roman"/>
          <w:lang w:val="en-US" w:eastAsia="zh-CN"/>
        </w:rPr>
        <w:t>2.故障应急处理：系统设备缺陷、故障的处理和恢复，应急响应服务,对故障设备及部件进行现场维修、更换等或返厂维修、维护，更换的设备及部件为</w:t>
      </w:r>
      <w:r>
        <w:rPr>
          <w:rFonts w:hint="eastAsia"/>
          <w:color w:val="auto"/>
          <w:highlight w:val="none"/>
          <w:lang w:eastAsia="zh-CN"/>
        </w:rPr>
        <w:t>中标人</w:t>
      </w:r>
      <w:r>
        <w:rPr>
          <w:rFonts w:hint="eastAsia"/>
          <w:color w:val="auto"/>
          <w:highlight w:val="none"/>
          <w:lang w:val="en-US" w:eastAsia="zh-CN"/>
        </w:rPr>
        <w:t>提</w:t>
      </w:r>
      <w:r>
        <w:rPr>
          <w:rFonts w:hint="eastAsia" w:eastAsia="宋体" w:cs="Times New Roman"/>
          <w:lang w:val="en-US" w:eastAsia="zh-CN"/>
        </w:rPr>
        <w:t>供；</w:t>
      </w:r>
    </w:p>
    <w:p w14:paraId="02EFC401">
      <w:pPr>
        <w:spacing w:line="360" w:lineRule="auto"/>
        <w:ind w:firstLine="420" w:firstLineChars="200"/>
        <w:rPr>
          <w:rFonts w:hint="eastAsia" w:eastAsia="宋体" w:cs="Times New Roman"/>
          <w:lang w:val="en-US" w:eastAsia="zh-CN"/>
        </w:rPr>
      </w:pPr>
      <w:r>
        <w:rPr>
          <w:rFonts w:hint="eastAsia" w:eastAsia="宋体" w:cs="Times New Roman"/>
          <w:lang w:val="en-US" w:eastAsia="zh-CN"/>
        </w:rPr>
        <w:t>3.特维:在特殊时期，提供现场保障和技术支持服务；</w:t>
      </w:r>
    </w:p>
    <w:p w14:paraId="1F07F0D1">
      <w:pPr>
        <w:spacing w:line="360" w:lineRule="auto"/>
        <w:ind w:firstLine="420" w:firstLineChars="200"/>
        <w:rPr>
          <w:rFonts w:hint="eastAsia" w:eastAsia="宋体" w:cs="Times New Roman"/>
          <w:lang w:val="en-US" w:eastAsia="zh-CN"/>
        </w:rPr>
      </w:pPr>
      <w:r>
        <w:rPr>
          <w:rFonts w:hint="eastAsia" w:eastAsia="宋体" w:cs="Times New Roman"/>
          <w:lang w:val="en-US" w:eastAsia="zh-CN"/>
        </w:rPr>
        <w:t>4.备品备件服务：针对所有营业厅设备，在任何情况下如需要替换，提供备品备件更换及备用设备，确保营业厅正常运营；</w:t>
      </w:r>
    </w:p>
    <w:p w14:paraId="7FB1E9EF">
      <w:pPr>
        <w:spacing w:line="360" w:lineRule="auto"/>
        <w:ind w:firstLine="420" w:firstLineChars="200"/>
        <w:rPr>
          <w:rFonts w:hint="eastAsia" w:eastAsia="宋体" w:cs="Times New Roman"/>
          <w:lang w:val="en-US" w:eastAsia="zh-CN"/>
        </w:rPr>
      </w:pPr>
      <w:r>
        <w:rPr>
          <w:rFonts w:hint="eastAsia" w:eastAsia="宋体" w:cs="Times New Roman"/>
          <w:lang w:val="en-US" w:eastAsia="zh-CN"/>
        </w:rPr>
        <w:t>5.培训：培训方式不限，可在运维时现场培训，也可集中进行培训。目的是使营业厅业务人员熟悉设备以及简单维护方法；</w:t>
      </w:r>
    </w:p>
    <w:p w14:paraId="2FB5C365">
      <w:pPr>
        <w:spacing w:line="360" w:lineRule="auto"/>
        <w:ind w:firstLine="420" w:firstLineChars="200"/>
        <w:rPr>
          <w:rFonts w:hint="eastAsia" w:eastAsia="宋体" w:cs="Times New Roman"/>
          <w:lang w:val="en-US" w:eastAsia="zh-CN"/>
        </w:rPr>
      </w:pPr>
      <w:r>
        <w:rPr>
          <w:rFonts w:hint="eastAsia" w:eastAsia="宋体" w:cs="Times New Roman"/>
          <w:lang w:val="en-US" w:eastAsia="zh-CN"/>
        </w:rPr>
        <w:t>6.网络安全防护：包括操作系统及防毒软件的版本升级、病毒扫描、漏洞修复等。</w:t>
      </w:r>
    </w:p>
    <w:p w14:paraId="770909C7">
      <w:pPr>
        <w:pStyle w:val="7"/>
        <w:tabs>
          <w:tab w:val="left" w:pos="720"/>
        </w:tabs>
        <w:ind w:left="720" w:hanging="720"/>
        <w:rPr>
          <w:color w:val="auto"/>
          <w:highlight w:val="none"/>
        </w:rPr>
      </w:pPr>
      <w:r>
        <w:rPr>
          <w:rFonts w:hint="eastAsia"/>
          <w:color w:val="auto"/>
          <w:highlight w:val="none"/>
        </w:rPr>
        <w:t>营业厅配套设备修理终端硬件维护服务</w:t>
      </w:r>
    </w:p>
    <w:p w14:paraId="21BFDEE7">
      <w:pPr>
        <w:spacing w:line="360" w:lineRule="auto"/>
        <w:ind w:firstLine="420" w:firstLineChars="200"/>
        <w:rPr>
          <w:rFonts w:hint="eastAsia" w:ascii="Times New Roman" w:hAnsi="Times New Roman" w:eastAsia="宋体" w:cs="Times New Roman"/>
          <w:lang w:val="en-US" w:eastAsia="zh-CN"/>
        </w:rPr>
      </w:pPr>
      <w:r>
        <w:rPr>
          <w:rFonts w:hint="eastAsia" w:asciiTheme="minorEastAsia" w:hAnsiTheme="minorEastAsia" w:eastAsiaTheme="minorEastAsia"/>
          <w:color w:val="auto"/>
          <w:highlight w:val="none"/>
          <w:lang w:eastAsia="zh-CN"/>
        </w:rPr>
        <w:t>中标人</w:t>
      </w:r>
      <w:r>
        <w:rPr>
          <w:rFonts w:hint="eastAsia" w:ascii="Times New Roman" w:hAnsi="Times New Roman" w:eastAsia="宋体" w:cs="Times New Roman"/>
          <w:lang w:val="en-US" w:eastAsia="zh-CN"/>
        </w:rPr>
        <w:t>负责</w:t>
      </w:r>
      <w:r>
        <w:rPr>
          <w:rFonts w:hint="eastAsia"/>
          <w:color w:val="auto"/>
          <w:highlight w:val="none"/>
        </w:rPr>
        <w:t>营业厅配套设备</w:t>
      </w:r>
      <w:r>
        <w:rPr>
          <w:rFonts w:hint="eastAsia" w:ascii="Times New Roman" w:hAnsi="Times New Roman" w:eastAsia="宋体" w:cs="Times New Roman"/>
          <w:lang w:val="en-US" w:eastAsia="zh-CN"/>
        </w:rPr>
        <w:t>运行日常维护工作，设立报障热线并由专人负责，并制定7×24小时标准的设备故障响应维护制度。同时，在接到</w:t>
      </w:r>
      <w:r>
        <w:rPr>
          <w:rFonts w:hint="eastAsia" w:asciiTheme="minorEastAsia" w:hAnsiTheme="minorEastAsia" w:eastAsiaTheme="minorEastAsia"/>
          <w:color w:val="auto"/>
          <w:highlight w:val="none"/>
        </w:rPr>
        <w:t>招标人</w:t>
      </w:r>
      <w:r>
        <w:rPr>
          <w:rFonts w:hint="eastAsia" w:ascii="Times New Roman" w:hAnsi="Times New Roman" w:eastAsia="宋体" w:cs="Times New Roman"/>
          <w:lang w:val="en-US" w:eastAsia="zh-CN"/>
        </w:rPr>
        <w:t>报障时，</w:t>
      </w:r>
      <w:r>
        <w:rPr>
          <w:rFonts w:hint="eastAsia" w:asciiTheme="minorEastAsia" w:hAnsiTheme="minorEastAsia" w:eastAsiaTheme="minorEastAsia"/>
          <w:color w:val="auto"/>
          <w:highlight w:val="none"/>
          <w:lang w:eastAsia="zh-CN"/>
        </w:rPr>
        <w:t>中标人</w:t>
      </w:r>
      <w:r>
        <w:rPr>
          <w:rFonts w:hint="eastAsia" w:ascii="Times New Roman" w:hAnsi="Times New Roman" w:eastAsia="宋体" w:cs="Times New Roman"/>
          <w:lang w:val="en-US" w:eastAsia="zh-CN"/>
        </w:rPr>
        <w:t>维护人员在广州区域内发生的故障在约定时间内到达处理。</w:t>
      </w:r>
    </w:p>
    <w:p w14:paraId="0C22165D">
      <w:pPr>
        <w:spacing w:line="360" w:lineRule="auto"/>
        <w:ind w:firstLine="422" w:firstLineChars="200"/>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服务内容包括：</w:t>
      </w:r>
    </w:p>
    <w:p w14:paraId="170E0448">
      <w:pPr>
        <w:spacing w:line="360" w:lineRule="auto"/>
        <w:ind w:firstLine="420" w:firstLineChars="200"/>
        <w:rPr>
          <w:rFonts w:hint="eastAsia"/>
        </w:rPr>
      </w:pPr>
      <w:r>
        <w:rPr>
          <w:rFonts w:hint="eastAsia" w:ascii="宋体" w:hAnsi="宋体" w:cs="宋体"/>
          <w:vanish w:val="0"/>
          <w:color w:val="auto"/>
          <w:kern w:val="0"/>
          <w:sz w:val="21"/>
          <w:szCs w:val="21"/>
          <w:lang w:val="en-US" w:eastAsia="zh-CN" w:bidi="ar-SA"/>
        </w:rPr>
        <w:t>对广州市（不包含黄埔营业厅、荔城营业厅、从化城郊营业厅、华南营业厅、天河局本部营业厅、越秀营业厅、荔湾营业厅、海珠营业厅、白云营业厅、市桥营业厅、粤港澳大湾区电力营商环境广州体验中心11个营业厅设备）约62台全业务自助服务终端、约162台柜式自助服务终端、约40套排队叫号机、约48台广告机、约113件电子屏、约82台空调机、约25台打印机、约17件其他设备(投影设备、高拍仪、中控系统设备、电动汽车展示设备、网络安全设备等)、约44套视频监控设备的配套设备的整体、主要部件、配件和配套软件的故障问题开展巡查、修理工作。</w:t>
      </w:r>
    </w:p>
    <w:p w14:paraId="2C77C498">
      <w:pPr>
        <w:spacing w:line="360" w:lineRule="auto"/>
        <w:ind w:firstLine="420" w:firstLineChars="200"/>
        <w:rPr>
          <w:rFonts w:hint="eastAsia" w:eastAsia="宋体" w:cs="Times New Roman"/>
          <w:lang w:val="en-US" w:eastAsia="zh-CN"/>
        </w:rPr>
      </w:pPr>
      <w:r>
        <w:rPr>
          <w:rFonts w:hint="eastAsia"/>
        </w:rPr>
        <w:t>包括但不限于</w:t>
      </w:r>
      <w:r>
        <w:rPr>
          <w:rFonts w:hint="eastAsia"/>
          <w:lang w:val="en-US" w:eastAsia="zh-CN"/>
        </w:rPr>
        <w:t>以下</w:t>
      </w:r>
      <w:r>
        <w:rPr>
          <w:rFonts w:hint="eastAsia"/>
        </w:rPr>
        <w:t>工作：（依据：《</w:t>
      </w:r>
      <w:r>
        <w:rPr>
          <w:rFonts w:hint="eastAsia"/>
          <w:lang w:val="en-US" w:eastAsia="zh-CN"/>
        </w:rPr>
        <w:t>中国南方电网有限责任公司营销</w:t>
      </w:r>
      <w:r>
        <w:rPr>
          <w:rFonts w:hint="eastAsia"/>
        </w:rPr>
        <w:t>项目准入</w:t>
      </w:r>
      <w:r>
        <w:rPr>
          <w:rFonts w:hint="eastAsia"/>
          <w:lang w:val="en-US" w:eastAsia="zh-CN"/>
        </w:rPr>
        <w:t>条件</w:t>
      </w:r>
      <w:r>
        <w:rPr>
          <w:rFonts w:hint="eastAsia"/>
        </w:rPr>
        <w:t>及预</w:t>
      </w:r>
      <w:r>
        <w:rPr>
          <w:rFonts w:hint="eastAsia" w:eastAsia="宋体" w:cs="Times New Roman"/>
          <w:lang w:val="en-US" w:eastAsia="zh-CN"/>
        </w:rPr>
        <w:t>算标准（2025版）》）</w:t>
      </w:r>
    </w:p>
    <w:p w14:paraId="55E61A09">
      <w:pPr>
        <w:spacing w:line="360" w:lineRule="auto"/>
        <w:ind w:firstLine="420" w:firstLineChars="200"/>
        <w:rPr>
          <w:rFonts w:hint="eastAsia" w:eastAsia="宋体" w:cs="Times New Roman"/>
          <w:lang w:val="en-US" w:eastAsia="zh-CN"/>
        </w:rPr>
      </w:pPr>
      <w:r>
        <w:rPr>
          <w:rFonts w:hint="eastAsia" w:eastAsia="宋体" w:cs="Times New Roman"/>
          <w:lang w:val="en-US" w:eastAsia="zh-CN"/>
        </w:rPr>
        <w:t>对</w:t>
      </w:r>
      <w:r>
        <w:rPr>
          <w:rFonts w:hint="default" w:eastAsia="宋体" w:cs="Times New Roman"/>
          <w:lang w:val="en-US" w:eastAsia="zh-CN"/>
        </w:rPr>
        <w:t>自助服务终端、互动屏终端、客户身份证识别仪、售电终端、触摸一体机、电视机、广告机、票据打印机</w:t>
      </w:r>
      <w:r>
        <w:rPr>
          <w:rFonts w:hint="eastAsia" w:eastAsia="宋体" w:cs="Times New Roman"/>
          <w:lang w:val="en-US" w:eastAsia="zh-CN"/>
        </w:rPr>
        <w:t>（</w:t>
      </w:r>
      <w:r>
        <w:rPr>
          <w:rFonts w:hint="default" w:eastAsia="宋体" w:cs="Times New Roman"/>
          <w:lang w:val="en-US" w:eastAsia="zh-CN"/>
        </w:rPr>
        <w:t>高速</w:t>
      </w:r>
      <w:r>
        <w:rPr>
          <w:rFonts w:hint="eastAsia" w:eastAsia="宋体" w:cs="Times New Roman"/>
          <w:lang w:val="en-US" w:eastAsia="zh-CN"/>
        </w:rPr>
        <w:t>）</w:t>
      </w:r>
      <w:r>
        <w:rPr>
          <w:rFonts w:hint="default" w:eastAsia="宋体" w:cs="Times New Roman"/>
          <w:lang w:val="en-US" w:eastAsia="zh-CN"/>
        </w:rPr>
        <w:t>、增值税预约取票机、单据复印机、视频监控系统、DLP/LED电子显示屏、自动化运维巡检设备、营业厅服务人员坐席设备、智能互动服务终端</w:t>
      </w:r>
      <w:r>
        <w:rPr>
          <w:rFonts w:hint="eastAsia" w:eastAsia="宋体" w:cs="Times New Roman"/>
          <w:lang w:val="en-US" w:eastAsia="zh-CN"/>
        </w:rPr>
        <w:t>、</w:t>
      </w:r>
      <w:r>
        <w:rPr>
          <w:rFonts w:hint="default" w:eastAsia="宋体" w:cs="Times New Roman"/>
          <w:lang w:val="en-US" w:eastAsia="zh-CN"/>
        </w:rPr>
        <w:t>高拍仪、打印机、客流监测仪、排队叫号机、迎宾设备、电子屏、电子投屏、双屏显示设备、电子意见本、全息投影设备、VR、AR交互设备、评价器、除湿器、空调机、保险柜、录音电话机、</w:t>
      </w:r>
      <w:r>
        <w:rPr>
          <w:rFonts w:hint="eastAsia" w:eastAsia="宋体" w:cs="Times New Roman"/>
          <w:lang w:val="en-US" w:eastAsia="zh-CN"/>
        </w:rPr>
        <w:t>移动缴费终端、一卡通终端、</w:t>
      </w:r>
      <w:r>
        <w:rPr>
          <w:rFonts w:hint="default" w:eastAsia="宋体" w:cs="Times New Roman"/>
          <w:lang w:val="en-US" w:eastAsia="zh-CN"/>
        </w:rPr>
        <w:t>激光打印机及客户档案扫描仪等营业厅及营业点内配套设备的整体、主要部件、配件和配套软件的故障问题</w:t>
      </w:r>
      <w:r>
        <w:rPr>
          <w:rFonts w:hint="eastAsia" w:eastAsia="宋体" w:cs="Times New Roman"/>
          <w:lang w:val="en-US" w:eastAsia="zh-CN"/>
        </w:rPr>
        <w:t>开展巡查、修理工作。</w:t>
      </w:r>
    </w:p>
    <w:p w14:paraId="3916AFBF">
      <w:pPr>
        <w:spacing w:line="360" w:lineRule="auto"/>
        <w:ind w:firstLine="420" w:firstLineChars="200"/>
        <w:rPr>
          <w:rFonts w:hint="eastAsia" w:eastAsia="宋体" w:cs="Times New Roman"/>
          <w:lang w:val="en-US" w:eastAsia="zh-CN"/>
        </w:rPr>
      </w:pPr>
      <w:r>
        <w:rPr>
          <w:rFonts w:hint="eastAsia" w:eastAsia="宋体" w:cs="Times New Roman"/>
          <w:lang w:val="en-US" w:eastAsia="zh-CN"/>
        </w:rPr>
        <w:t>1.巡检：对服务范围内的所有设备按招标人要求开展按需巡检并提供运维报告，巡检内容：主机系统的运行状态检查、外部设备运行状态检查、连接件检查、设备环境检查、设备清洁保养、系统优化、隐患排查等；</w:t>
      </w:r>
    </w:p>
    <w:p w14:paraId="7D39C899">
      <w:pPr>
        <w:spacing w:line="360" w:lineRule="auto"/>
        <w:ind w:firstLine="420" w:firstLineChars="200"/>
        <w:rPr>
          <w:rFonts w:hint="eastAsia" w:eastAsia="宋体" w:cs="Times New Roman"/>
          <w:lang w:val="en-US" w:eastAsia="zh-CN"/>
        </w:rPr>
      </w:pPr>
      <w:r>
        <w:rPr>
          <w:rFonts w:hint="eastAsia" w:eastAsia="宋体" w:cs="Times New Roman"/>
          <w:lang w:val="en-US" w:eastAsia="zh-CN"/>
        </w:rPr>
        <w:t>2.故障应急处理：系统设备缺陷、故障的处理和恢复，应急响应服务,对故障设备及部件进行现场维修、更换等或返厂维修、维护，更换的设备及部件为</w:t>
      </w:r>
      <w:r>
        <w:rPr>
          <w:rFonts w:hint="eastAsia"/>
          <w:color w:val="auto"/>
          <w:highlight w:val="none"/>
          <w:lang w:eastAsia="zh-CN"/>
        </w:rPr>
        <w:t>中标人提</w:t>
      </w:r>
      <w:r>
        <w:rPr>
          <w:rFonts w:hint="eastAsia" w:eastAsia="宋体" w:cs="Times New Roman"/>
          <w:lang w:val="en-US" w:eastAsia="zh-CN"/>
        </w:rPr>
        <w:t>供；</w:t>
      </w:r>
    </w:p>
    <w:p w14:paraId="596647CB">
      <w:pPr>
        <w:spacing w:line="360" w:lineRule="auto"/>
        <w:ind w:firstLine="420" w:firstLineChars="200"/>
        <w:rPr>
          <w:rFonts w:hint="eastAsia" w:eastAsia="宋体" w:cs="Times New Roman"/>
          <w:lang w:val="en-US" w:eastAsia="zh-CN"/>
        </w:rPr>
      </w:pPr>
      <w:r>
        <w:rPr>
          <w:rFonts w:hint="eastAsia" w:eastAsia="宋体" w:cs="Times New Roman"/>
          <w:lang w:val="en-US" w:eastAsia="zh-CN"/>
        </w:rPr>
        <w:t>3.特维:在特殊时期，提供现场保障和技术支持服务；</w:t>
      </w:r>
    </w:p>
    <w:p w14:paraId="67A13C36">
      <w:pPr>
        <w:spacing w:line="360" w:lineRule="auto"/>
        <w:ind w:firstLine="420" w:firstLineChars="200"/>
        <w:rPr>
          <w:rFonts w:hint="eastAsia" w:eastAsia="宋体" w:cs="Times New Roman"/>
          <w:lang w:val="en-US" w:eastAsia="zh-CN"/>
        </w:rPr>
      </w:pPr>
      <w:r>
        <w:rPr>
          <w:rFonts w:hint="eastAsia" w:eastAsia="宋体" w:cs="Times New Roman"/>
          <w:lang w:val="en-US" w:eastAsia="zh-CN"/>
        </w:rPr>
        <w:t>4.备品备件服务：针对所有营业厅设备，在任何情况下如需要替换，提供备品备件更换及备用设备，确保营业厅正常运营；</w:t>
      </w:r>
    </w:p>
    <w:p w14:paraId="43F5D663">
      <w:pPr>
        <w:spacing w:line="360" w:lineRule="auto"/>
        <w:ind w:firstLine="420" w:firstLineChars="200"/>
        <w:rPr>
          <w:rFonts w:hint="eastAsia" w:eastAsia="宋体" w:cs="Times New Roman"/>
          <w:lang w:val="en-US" w:eastAsia="zh-CN"/>
        </w:rPr>
      </w:pPr>
      <w:r>
        <w:rPr>
          <w:rFonts w:hint="eastAsia" w:eastAsia="宋体" w:cs="Times New Roman"/>
          <w:lang w:val="en-US" w:eastAsia="zh-CN"/>
        </w:rPr>
        <w:t>5.培训：培训方式不限，可在运维时现场培训，也可集中进行培训。目的是使营业厅业务人员熟悉设备以及简单维护方法；</w:t>
      </w:r>
    </w:p>
    <w:p w14:paraId="21BCC60B">
      <w:pPr>
        <w:spacing w:line="360" w:lineRule="auto"/>
        <w:ind w:firstLine="420" w:firstLineChars="200"/>
        <w:rPr>
          <w:rFonts w:hint="eastAsia" w:eastAsia="宋体" w:cs="Times New Roman"/>
          <w:lang w:val="en-US" w:eastAsia="zh-CN"/>
        </w:rPr>
      </w:pPr>
      <w:r>
        <w:rPr>
          <w:rFonts w:hint="eastAsia" w:eastAsia="宋体" w:cs="Times New Roman"/>
          <w:lang w:val="en-US" w:eastAsia="zh-CN"/>
        </w:rPr>
        <w:t>6.网络安全防护：包括操作系统及防毒软件的版本升级、病毒扫描、漏洞修复等。</w:t>
      </w:r>
    </w:p>
    <w:p w14:paraId="61AF5859">
      <w:pPr>
        <w:pStyle w:val="7"/>
        <w:bidi w:val="0"/>
        <w:rPr>
          <w:color w:val="auto"/>
          <w:highlight w:val="none"/>
        </w:rPr>
      </w:pPr>
      <w:r>
        <w:rPr>
          <w:rFonts w:hint="eastAsia"/>
          <w:color w:val="auto"/>
          <w:highlight w:val="none"/>
        </w:rPr>
        <w:t>环境变更支持</w:t>
      </w:r>
    </w:p>
    <w:p w14:paraId="73FA50D8">
      <w:pPr>
        <w:spacing w:line="360" w:lineRule="auto"/>
        <w:ind w:firstLine="420" w:firstLineChars="200"/>
        <w:rPr>
          <w:color w:val="auto"/>
          <w:highlight w:val="none"/>
        </w:rPr>
      </w:pPr>
      <w:r>
        <w:rPr>
          <w:rFonts w:hint="eastAsia"/>
          <w:color w:val="auto"/>
          <w:highlight w:val="none"/>
        </w:rPr>
        <w:t>在服务期内，若系统相关的硬件</w:t>
      </w:r>
      <w:r>
        <w:rPr>
          <w:rFonts w:hint="eastAsia" w:asciiTheme="minorEastAsia" w:hAnsiTheme="minorEastAsia" w:eastAsiaTheme="minorEastAsia"/>
          <w:color w:val="auto"/>
          <w:highlight w:val="none"/>
        </w:rPr>
        <w:t>环境</w:t>
      </w:r>
      <w:r>
        <w:rPr>
          <w:rFonts w:hint="eastAsia"/>
          <w:color w:val="auto"/>
          <w:highlight w:val="none"/>
        </w:rPr>
        <w:t>、软件环境需要变更等，如果招标人需要的，</w:t>
      </w:r>
      <w:r>
        <w:rPr>
          <w:rFonts w:hint="eastAsia"/>
          <w:color w:val="auto"/>
          <w:highlight w:val="none"/>
          <w:lang w:eastAsia="zh-CN"/>
        </w:rPr>
        <w:t>中标人</w:t>
      </w:r>
      <w:r>
        <w:rPr>
          <w:rFonts w:hint="eastAsia"/>
          <w:color w:val="auto"/>
          <w:highlight w:val="none"/>
        </w:rPr>
        <w:t>可以为招标人提供相关的系统变更所需要的现场操作、现场指导或非现场指导等技术支持服务。</w:t>
      </w:r>
    </w:p>
    <w:p w14:paraId="2924F2AB">
      <w:pPr>
        <w:pStyle w:val="7"/>
        <w:tabs>
          <w:tab w:val="left" w:pos="720"/>
        </w:tabs>
        <w:ind w:left="720" w:hanging="720"/>
        <w:rPr>
          <w:color w:val="auto"/>
          <w:highlight w:val="none"/>
        </w:rPr>
      </w:pPr>
      <w:r>
        <w:rPr>
          <w:rFonts w:hint="eastAsia"/>
          <w:color w:val="auto"/>
          <w:highlight w:val="none"/>
        </w:rPr>
        <w:t>电话技术支持服务</w:t>
      </w:r>
    </w:p>
    <w:p w14:paraId="2521BB9D">
      <w:pPr>
        <w:spacing w:line="360" w:lineRule="auto"/>
        <w:ind w:firstLine="420" w:firstLineChars="200"/>
        <w:rPr>
          <w:color w:val="auto"/>
          <w:highlight w:val="none"/>
        </w:rPr>
      </w:pPr>
      <w:r>
        <w:rPr>
          <w:rFonts w:hint="eastAsia"/>
          <w:color w:val="auto"/>
          <w:highlight w:val="none"/>
          <w:lang w:eastAsia="zh-CN"/>
        </w:rPr>
        <w:t>中标人</w:t>
      </w:r>
      <w:r>
        <w:rPr>
          <w:rFonts w:hint="eastAsia"/>
          <w:color w:val="auto"/>
          <w:highlight w:val="none"/>
          <w:lang w:val="en-US" w:eastAsia="zh-CN"/>
        </w:rPr>
        <w:t>通过电话为招标人提供技术支持，协助招标人解决系统日常运行中的问题，</w:t>
      </w:r>
      <w:r>
        <w:rPr>
          <w:rFonts w:hint="eastAsia"/>
          <w:color w:val="auto"/>
          <w:highlight w:val="none"/>
          <w:lang w:eastAsia="zh-CN"/>
        </w:rPr>
        <w:t>中标人</w:t>
      </w:r>
      <w:r>
        <w:rPr>
          <w:rFonts w:hint="eastAsia"/>
          <w:color w:val="auto"/>
          <w:highlight w:val="none"/>
          <w:lang w:val="en-US" w:eastAsia="zh-CN"/>
        </w:rPr>
        <w:t>应设立7*24小时的技术支持热线，保证招标人获得</w:t>
      </w:r>
      <w:r>
        <w:rPr>
          <w:rFonts w:hint="eastAsia" w:ascii="宋体" w:hAnsi="宋体" w:cs="宋体"/>
          <w:vanish w:val="0"/>
          <w:color w:val="auto"/>
          <w:kern w:val="0"/>
          <w:sz w:val="21"/>
          <w:szCs w:val="21"/>
          <w:lang w:val="en-US" w:eastAsia="zh-CN" w:bidi="ar-SA"/>
        </w:rPr>
        <w:t>全业务自助服务终端、柜式自助服务终端、排队叫号机、广告机、电子屏、空调机、打印机、其他设备(投影设备、高拍仪、中控系统设备、电动汽车展示设备、网络安全设备等)、视频监控设备的配套设备的整体、主要部件、配件和配套软件</w:t>
      </w:r>
      <w:r>
        <w:rPr>
          <w:rFonts w:hint="eastAsia"/>
          <w:color w:val="auto"/>
          <w:highlight w:val="none"/>
          <w:lang w:val="en-US" w:eastAsia="zh-CN"/>
        </w:rPr>
        <w:t>日常维护的技术支持，保证招标人关于设备的技术性问题得到及时、有效的解答。</w:t>
      </w:r>
    </w:p>
    <w:p w14:paraId="50018490">
      <w:pPr>
        <w:pStyle w:val="7"/>
        <w:tabs>
          <w:tab w:val="left" w:pos="720"/>
        </w:tabs>
        <w:ind w:left="720" w:hanging="720"/>
        <w:rPr>
          <w:color w:val="auto"/>
          <w:highlight w:val="none"/>
        </w:rPr>
      </w:pPr>
      <w:r>
        <w:rPr>
          <w:rFonts w:hint="eastAsia"/>
          <w:color w:val="auto"/>
          <w:szCs w:val="21"/>
          <w:highlight w:val="none"/>
          <w:lang w:val="en-US" w:eastAsia="zh-CN"/>
        </w:rPr>
        <w:t>营业厅配套设备</w:t>
      </w:r>
      <w:r>
        <w:rPr>
          <w:rFonts w:hint="eastAsia"/>
          <w:color w:val="auto"/>
          <w:highlight w:val="none"/>
        </w:rPr>
        <w:t>巡检</w:t>
      </w:r>
      <w:r>
        <w:rPr>
          <w:rFonts w:hint="eastAsia"/>
          <w:color w:val="auto"/>
          <w:highlight w:val="none"/>
          <w:lang w:val="en-US" w:eastAsia="zh-CN"/>
        </w:rPr>
        <w:t>清洁</w:t>
      </w:r>
      <w:r>
        <w:rPr>
          <w:rFonts w:hint="eastAsia"/>
          <w:color w:val="auto"/>
          <w:highlight w:val="none"/>
        </w:rPr>
        <w:t>服务</w:t>
      </w:r>
    </w:p>
    <w:p w14:paraId="4BFDF7E2">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中标人公司在合同的有效期内，为本项目指定的营业厅配套设备（在运设备）进行招标人指定要求的巡检清洁服务，在巡检过程中及时发现设备运行中出现的隐患，通过技术手段，减少设备发生故障的概率，保证设备稳定、高效运行。</w:t>
      </w:r>
    </w:p>
    <w:p w14:paraId="3D763387">
      <w:pPr>
        <w:pStyle w:val="2"/>
        <w:ind w:firstLine="425" w:firstLineChars="0"/>
        <w:rPr>
          <w:rFonts w:hint="eastAsia"/>
          <w:color w:val="auto"/>
          <w:highlight w:val="none"/>
          <w:lang w:val="en-US" w:eastAsia="zh-CN"/>
        </w:rPr>
      </w:pPr>
      <w:r>
        <w:rPr>
          <w:rFonts w:hint="eastAsia"/>
          <w:color w:val="auto"/>
          <w:highlight w:val="none"/>
          <w:lang w:val="en-US" w:eastAsia="zh-CN"/>
        </w:rPr>
        <w:t>一、相关设备检清洁要求如下：</w:t>
      </w:r>
    </w:p>
    <w:p w14:paraId="7C915900">
      <w:pPr>
        <w:pStyle w:val="2"/>
        <w:numPr>
          <w:ilvl w:val="0"/>
          <w:numId w:val="0"/>
        </w:numPr>
        <w:spacing w:line="360" w:lineRule="auto"/>
        <w:ind w:firstLine="420" w:firstLineChars="200"/>
        <w:rPr>
          <w:rFonts w:hint="eastAsia" w:ascii="Times New Roman" w:hAnsi="Times New Roman" w:eastAsia="宋体" w:cs="Times New Roman"/>
          <w:color w:val="auto"/>
          <w:kern w:val="2"/>
          <w:sz w:val="21"/>
          <w:szCs w:val="20"/>
          <w:highlight w:val="none"/>
          <w:lang w:val="en-US" w:eastAsia="zh-CN" w:bidi="ar-SA"/>
        </w:rPr>
      </w:pPr>
      <w:r>
        <w:rPr>
          <w:rFonts w:hint="eastAsia" w:ascii="Times New Roman" w:hAnsi="Times New Roman" w:eastAsia="宋体" w:cs="Times New Roman"/>
          <w:color w:val="auto"/>
          <w:kern w:val="2"/>
          <w:sz w:val="21"/>
          <w:szCs w:val="20"/>
          <w:highlight w:val="none"/>
          <w:lang w:val="en-US" w:eastAsia="zh-CN" w:bidi="ar-SA"/>
        </w:rPr>
        <w:t>1.电子屏、空调机、打印机、其他设备(投影设备、高拍仪、中控系统设备、电动汽车展示设备、网络安全设备等) ，每年应招标人要求进行巡检清洁，原则上每台设备不多于1次的巡检清洁工作。</w:t>
      </w:r>
    </w:p>
    <w:p w14:paraId="51F8651D">
      <w:pPr>
        <w:pStyle w:val="2"/>
        <w:numPr>
          <w:ilvl w:val="0"/>
          <w:numId w:val="0"/>
        </w:numPr>
        <w:spacing w:line="360" w:lineRule="auto"/>
        <w:ind w:firstLine="420" w:firstLineChars="200"/>
        <w:rPr>
          <w:rFonts w:hint="eastAsia" w:ascii="Times New Roman" w:hAnsi="Times New Roman" w:eastAsia="宋体" w:cs="Times New Roman"/>
          <w:color w:val="auto"/>
          <w:kern w:val="2"/>
          <w:sz w:val="21"/>
          <w:szCs w:val="20"/>
          <w:highlight w:val="none"/>
          <w:lang w:val="en-US" w:eastAsia="zh-CN" w:bidi="ar-SA"/>
        </w:rPr>
      </w:pPr>
      <w:r>
        <w:rPr>
          <w:rFonts w:hint="default" w:ascii="Times New Roman" w:hAnsi="Times New Roman" w:eastAsia="宋体" w:cs="Times New Roman"/>
          <w:color w:val="auto"/>
          <w:kern w:val="2"/>
          <w:sz w:val="21"/>
          <w:szCs w:val="20"/>
          <w:highlight w:val="none"/>
          <w:lang w:val="en-US" w:eastAsia="zh-CN" w:bidi="ar-SA"/>
        </w:rPr>
        <w:t>2.</w:t>
      </w:r>
      <w:r>
        <w:rPr>
          <w:rFonts w:hint="eastAsia" w:ascii="Times New Roman" w:hAnsi="Times New Roman" w:eastAsia="宋体" w:cs="Times New Roman"/>
          <w:color w:val="auto"/>
          <w:kern w:val="2"/>
          <w:sz w:val="21"/>
          <w:szCs w:val="20"/>
          <w:highlight w:val="none"/>
          <w:lang w:val="en-US" w:eastAsia="zh-CN" w:bidi="ar-SA"/>
        </w:rPr>
        <w:t>广告机，每年应招标人要求进行巡检清洁，原则上每台设备不多于2次的巡检清洁工作。</w:t>
      </w:r>
    </w:p>
    <w:p w14:paraId="10539ED4">
      <w:pPr>
        <w:pStyle w:val="2"/>
        <w:numPr>
          <w:ilvl w:val="0"/>
          <w:numId w:val="0"/>
        </w:numPr>
        <w:spacing w:line="360" w:lineRule="auto"/>
        <w:ind w:firstLine="420" w:firstLineChars="200"/>
        <w:rPr>
          <w:rFonts w:hint="eastAsia" w:ascii="Times New Roman" w:hAnsi="Times New Roman" w:eastAsia="宋体" w:cs="Times New Roman"/>
          <w:color w:val="auto"/>
          <w:kern w:val="2"/>
          <w:sz w:val="21"/>
          <w:szCs w:val="20"/>
          <w:highlight w:val="none"/>
          <w:lang w:val="en-US" w:eastAsia="zh-CN" w:bidi="ar-SA"/>
        </w:rPr>
      </w:pPr>
      <w:r>
        <w:rPr>
          <w:rFonts w:hint="eastAsia" w:ascii="Times New Roman" w:hAnsi="Times New Roman" w:eastAsia="宋体" w:cs="Times New Roman"/>
          <w:color w:val="auto"/>
          <w:kern w:val="2"/>
          <w:sz w:val="21"/>
          <w:szCs w:val="20"/>
          <w:highlight w:val="none"/>
          <w:lang w:val="en-US" w:eastAsia="zh-CN" w:bidi="ar-SA"/>
        </w:rPr>
        <w:t>3.全业务自助服务终端、柜式自助服务终端、排队叫号机，每年应招标人要求进行巡检清洁，原则上每台设备不多于4次的巡检清洁工作。</w:t>
      </w:r>
    </w:p>
    <w:p w14:paraId="5C6B6867">
      <w:pPr>
        <w:pStyle w:val="2"/>
        <w:numPr>
          <w:ilvl w:val="0"/>
          <w:numId w:val="0"/>
        </w:numPr>
        <w:spacing w:line="360" w:lineRule="auto"/>
        <w:ind w:firstLine="420" w:firstLineChars="200"/>
        <w:rPr>
          <w:rFonts w:hint="default" w:ascii="Times New Roman" w:hAnsi="Times New Roman" w:eastAsia="宋体" w:cs="Times New Roman"/>
          <w:color w:val="auto"/>
          <w:kern w:val="2"/>
          <w:sz w:val="21"/>
          <w:szCs w:val="20"/>
          <w:highlight w:val="none"/>
          <w:lang w:val="en-US" w:eastAsia="zh-CN" w:bidi="ar-SA"/>
        </w:rPr>
      </w:pPr>
      <w:r>
        <w:rPr>
          <w:rFonts w:hint="eastAsia" w:ascii="Times New Roman" w:hAnsi="Times New Roman" w:eastAsia="宋体" w:cs="Times New Roman"/>
          <w:color w:val="auto"/>
          <w:kern w:val="2"/>
          <w:sz w:val="21"/>
          <w:szCs w:val="20"/>
          <w:highlight w:val="none"/>
          <w:lang w:val="en-US" w:eastAsia="zh-CN" w:bidi="ar-SA"/>
        </w:rPr>
        <w:t>4.视频监控设备，每个营业厅每月定期巡检清洁一次（遇网络攻防演习等特殊因素按招标人要求进行调整）。</w:t>
      </w:r>
    </w:p>
    <w:p w14:paraId="59DD0132">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二、巡检清洁内容包括，终端运行情况检查（如开机运行情况、运维稳定性、实时监控情况）和部件运行情况等。</w:t>
      </w:r>
    </w:p>
    <w:p w14:paraId="30E3CBAC">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检查内容：故障分类、故障频率、故障处理情况，故障分布分析。</w:t>
      </w:r>
    </w:p>
    <w:p w14:paraId="6BC31874">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定期上报招标人管理部门上述报告。</w:t>
      </w:r>
    </w:p>
    <w:p w14:paraId="61A5F5F1">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发现隐患问题及时处理，提供巡检清洁报告给设备所放置的营业点人员检查和签收，最终提供巡检清洁总结报告和各网点签收单提交给招标人的考核人员评估。</w:t>
      </w:r>
    </w:p>
    <w:p w14:paraId="5EFAA5A1">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具体表格参加如下</w:t>
      </w:r>
    </w:p>
    <w:p w14:paraId="66B67D1A">
      <w:pPr>
        <w:spacing w:line="360" w:lineRule="auto"/>
        <w:ind w:firstLine="420" w:firstLineChars="200"/>
        <w:rPr>
          <w:rFonts w:hint="eastAsia"/>
          <w:color w:val="auto"/>
          <w:highlight w:val="none"/>
        </w:rPr>
      </w:pPr>
    </w:p>
    <w:p w14:paraId="59B95F9C">
      <w:pPr>
        <w:adjustRightInd/>
        <w:spacing w:line="360" w:lineRule="auto"/>
        <w:jc w:val="both"/>
        <w:textAlignment w:val="auto"/>
        <w:rPr>
          <w:rFonts w:hint="eastAsia" w:ascii="宋体" w:hAnsi="宋体" w:eastAsia="宋体"/>
          <w:b/>
          <w:color w:val="auto"/>
          <w:kern w:val="2"/>
          <w:sz w:val="30"/>
          <w:szCs w:val="30"/>
          <w:highlight w:val="none"/>
        </w:rPr>
      </w:pPr>
    </w:p>
    <w:p w14:paraId="189A11C8">
      <w:pPr>
        <w:adjustRightInd/>
        <w:spacing w:line="360" w:lineRule="auto"/>
        <w:jc w:val="center"/>
        <w:textAlignment w:val="auto"/>
        <w:rPr>
          <w:rFonts w:hint="eastAsia" w:ascii="宋体" w:hAnsi="宋体" w:eastAsia="宋体"/>
          <w:b/>
          <w:color w:val="auto"/>
          <w:kern w:val="2"/>
          <w:sz w:val="30"/>
          <w:szCs w:val="30"/>
          <w:highlight w:val="none"/>
        </w:rPr>
      </w:pPr>
      <w:r>
        <w:rPr>
          <w:rFonts w:hint="eastAsia" w:ascii="宋体" w:hAnsi="宋体" w:eastAsia="宋体"/>
          <w:b/>
          <w:color w:val="auto"/>
          <w:kern w:val="2"/>
          <w:sz w:val="30"/>
          <w:szCs w:val="30"/>
          <w:highlight w:val="none"/>
        </w:rPr>
        <w:t>营业厅配套设备巡检</w:t>
      </w:r>
      <w:r>
        <w:rPr>
          <w:rFonts w:hint="eastAsia" w:ascii="宋体" w:hAnsi="宋体"/>
          <w:b/>
          <w:color w:val="auto"/>
          <w:kern w:val="2"/>
          <w:sz w:val="30"/>
          <w:szCs w:val="30"/>
          <w:highlight w:val="none"/>
          <w:lang w:val="en-US" w:eastAsia="zh-CN"/>
        </w:rPr>
        <w:t>清洁</w:t>
      </w:r>
      <w:r>
        <w:rPr>
          <w:rFonts w:hint="eastAsia" w:ascii="宋体" w:hAnsi="宋体" w:eastAsia="宋体"/>
          <w:b/>
          <w:color w:val="auto"/>
          <w:kern w:val="2"/>
          <w:sz w:val="30"/>
          <w:szCs w:val="30"/>
          <w:highlight w:val="none"/>
        </w:rPr>
        <w:t>单</w:t>
      </w:r>
    </w:p>
    <w:tbl>
      <w:tblPr>
        <w:tblStyle w:val="22"/>
        <w:tblpPr w:leftFromText="180" w:rightFromText="180" w:vertAnchor="text" w:horzAnchor="page" w:tblpX="560" w:tblpY="808"/>
        <w:tblOverlap w:val="never"/>
        <w:tblW w:w="11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4"/>
        <w:gridCol w:w="360"/>
        <w:gridCol w:w="3654"/>
        <w:gridCol w:w="2146"/>
        <w:gridCol w:w="3409"/>
      </w:tblGrid>
      <w:tr w14:paraId="5313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68" w:type="dxa"/>
            <w:gridSpan w:val="3"/>
            <w:noWrap w:val="0"/>
            <w:vAlign w:val="center"/>
          </w:tcPr>
          <w:p w14:paraId="78F438B0">
            <w:pPr>
              <w:rPr>
                <w:color w:val="auto"/>
                <w:sz w:val="21"/>
                <w:szCs w:val="21"/>
                <w:highlight w:val="none"/>
              </w:rPr>
            </w:pPr>
            <w:r>
              <w:rPr>
                <w:rFonts w:hint="eastAsia"/>
                <w:color w:val="auto"/>
                <w:sz w:val="21"/>
                <w:szCs w:val="21"/>
                <w:highlight w:val="none"/>
              </w:rPr>
              <w:t>供电局：</w:t>
            </w:r>
          </w:p>
        </w:tc>
        <w:tc>
          <w:tcPr>
            <w:tcW w:w="5555" w:type="dxa"/>
            <w:gridSpan w:val="2"/>
            <w:noWrap w:val="0"/>
            <w:vAlign w:val="center"/>
          </w:tcPr>
          <w:p w14:paraId="137666F5">
            <w:pPr>
              <w:rPr>
                <w:color w:val="auto"/>
                <w:sz w:val="21"/>
                <w:szCs w:val="21"/>
                <w:highlight w:val="none"/>
              </w:rPr>
            </w:pPr>
            <w:r>
              <w:rPr>
                <w:rFonts w:hint="eastAsia"/>
                <w:color w:val="auto"/>
                <w:sz w:val="21"/>
                <w:szCs w:val="21"/>
                <w:highlight w:val="none"/>
              </w:rPr>
              <w:t>营业厅：</w:t>
            </w:r>
          </w:p>
        </w:tc>
      </w:tr>
      <w:tr w14:paraId="05E4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68" w:type="dxa"/>
            <w:gridSpan w:val="3"/>
            <w:noWrap w:val="0"/>
            <w:vAlign w:val="center"/>
          </w:tcPr>
          <w:p w14:paraId="433F4D5C">
            <w:pPr>
              <w:rPr>
                <w:color w:val="auto"/>
                <w:sz w:val="21"/>
                <w:szCs w:val="21"/>
                <w:highlight w:val="none"/>
              </w:rPr>
            </w:pPr>
            <w:r>
              <w:rPr>
                <w:rFonts w:hint="eastAsia"/>
                <w:color w:val="auto"/>
                <w:sz w:val="21"/>
                <w:szCs w:val="21"/>
                <w:highlight w:val="none"/>
              </w:rPr>
              <w:t>到达时间:______年___月___日___时___分</w:t>
            </w:r>
          </w:p>
        </w:tc>
        <w:tc>
          <w:tcPr>
            <w:tcW w:w="5555" w:type="dxa"/>
            <w:gridSpan w:val="2"/>
            <w:noWrap w:val="0"/>
            <w:vAlign w:val="center"/>
          </w:tcPr>
          <w:p w14:paraId="6FCD1F45">
            <w:pPr>
              <w:rPr>
                <w:color w:val="auto"/>
                <w:sz w:val="21"/>
                <w:szCs w:val="21"/>
                <w:highlight w:val="none"/>
              </w:rPr>
            </w:pPr>
            <w:r>
              <w:rPr>
                <w:rFonts w:hint="eastAsia"/>
                <w:color w:val="auto"/>
                <w:sz w:val="21"/>
                <w:szCs w:val="21"/>
                <w:highlight w:val="none"/>
              </w:rPr>
              <w:t>完成时间:______年___月___日___时___分</w:t>
            </w:r>
          </w:p>
        </w:tc>
      </w:tr>
      <w:tr w14:paraId="73BC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trPr>
        <w:tc>
          <w:tcPr>
            <w:tcW w:w="11123" w:type="dxa"/>
            <w:gridSpan w:val="5"/>
            <w:noWrap w:val="0"/>
            <w:vAlign w:val="center"/>
          </w:tcPr>
          <w:p w14:paraId="384A7C78">
            <w:pPr>
              <w:spacing w:line="360" w:lineRule="auto"/>
              <w:rPr>
                <w:color w:val="auto"/>
                <w:sz w:val="21"/>
                <w:szCs w:val="21"/>
                <w:highlight w:val="none"/>
              </w:rPr>
            </w:pPr>
            <w:r>
              <w:rPr>
                <w:rFonts w:hint="eastAsia"/>
                <w:color w:val="auto"/>
                <w:sz w:val="21"/>
                <w:szCs w:val="21"/>
                <w:highlight w:val="none"/>
                <w:lang w:val="en-US" w:eastAsia="zh-CN"/>
              </w:rPr>
              <w:t>巡检</w:t>
            </w:r>
            <w:r>
              <w:rPr>
                <w:rFonts w:hint="eastAsia" w:ascii="宋体" w:hAnsi="宋体" w:eastAsia="宋体" w:cs="宋体"/>
                <w:color w:val="auto"/>
                <w:sz w:val="21"/>
                <w:szCs w:val="21"/>
                <w:highlight w:val="none"/>
                <w:lang w:val="en-US" w:eastAsia="zh-CN"/>
              </w:rPr>
              <w:t>/</w:t>
            </w:r>
            <w:r>
              <w:rPr>
                <w:rFonts w:hint="eastAsia"/>
                <w:color w:val="auto"/>
                <w:sz w:val="21"/>
                <w:szCs w:val="21"/>
                <w:highlight w:val="none"/>
                <w:lang w:val="en-US" w:eastAsia="zh-CN"/>
              </w:rPr>
              <w:t>清洁</w:t>
            </w:r>
            <w:r>
              <w:rPr>
                <w:rFonts w:hint="eastAsia"/>
                <w:color w:val="auto"/>
                <w:sz w:val="21"/>
                <w:szCs w:val="21"/>
                <w:highlight w:val="none"/>
              </w:rPr>
              <w:t>设备：</w:t>
            </w:r>
          </w:p>
          <w:p w14:paraId="5784AC85">
            <w:pPr>
              <w:spacing w:line="360" w:lineRule="auto"/>
              <w:rPr>
                <w:rFonts w:hint="eastAsia" w:ascii="宋体" w:hAnsi="宋体"/>
                <w:color w:val="auto"/>
                <w:sz w:val="21"/>
                <w:szCs w:val="21"/>
                <w:highlight w:val="none"/>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全业务自助</w:t>
            </w:r>
            <w:r>
              <w:rPr>
                <w:rFonts w:hint="eastAsia"/>
                <w:color w:val="auto"/>
                <w:sz w:val="21"/>
                <w:szCs w:val="21"/>
                <w:highlight w:val="none"/>
              </w:rPr>
              <w:t>终端</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sym w:font="Wingdings 2" w:char="00A3"/>
            </w:r>
            <w:r>
              <w:rPr>
                <w:rFonts w:hint="eastAsia" w:ascii="Times New Roman" w:hAnsi="Times New Roman" w:eastAsia="宋体" w:cs="Times New Roman"/>
                <w:color w:val="auto"/>
                <w:kern w:val="2"/>
                <w:sz w:val="21"/>
                <w:szCs w:val="21"/>
                <w:highlight w:val="none"/>
                <w:lang w:val="en-US" w:eastAsia="zh-CN" w:bidi="ar-SA"/>
              </w:rPr>
              <w:t>柜式自助服务终端</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Times New Roman" w:hAnsi="Times New Roman" w:eastAsia="宋体" w:cs="Times New Roman"/>
                <w:color w:val="auto"/>
                <w:kern w:val="2"/>
                <w:sz w:val="21"/>
                <w:szCs w:val="21"/>
                <w:highlight w:val="none"/>
                <w:lang w:val="en-US" w:eastAsia="zh-CN" w:bidi="ar-SA"/>
              </w:rPr>
              <w:t>排队叫号机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CE02000">
            <w:pPr>
              <w:spacing w:line="360" w:lineRule="auto"/>
              <w:rPr>
                <w:rFonts w:hint="eastAsia" w:ascii="宋体" w:hAnsi="宋体"/>
                <w:color w:val="auto"/>
                <w:sz w:val="21"/>
                <w:szCs w:val="21"/>
                <w:highlight w:val="none"/>
              </w:rPr>
            </w:pPr>
            <w:r>
              <w:rPr>
                <w:rFonts w:hint="eastAsia" w:ascii="宋体" w:hAnsi="宋体"/>
                <w:color w:val="auto"/>
                <w:sz w:val="21"/>
                <w:szCs w:val="21"/>
                <w:highlight w:val="none"/>
              </w:rPr>
              <w:t>□</w:t>
            </w:r>
            <w:r>
              <w:rPr>
                <w:rFonts w:hint="eastAsia" w:ascii="Times New Roman" w:hAnsi="Times New Roman" w:eastAsia="宋体" w:cs="Times New Roman"/>
                <w:color w:val="auto"/>
                <w:kern w:val="2"/>
                <w:sz w:val="21"/>
                <w:szCs w:val="21"/>
                <w:highlight w:val="none"/>
                <w:lang w:val="en-US" w:eastAsia="zh-CN" w:bidi="ar-SA"/>
              </w:rPr>
              <w:t>广告机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sym w:font="Wingdings 2" w:char="00A3"/>
            </w:r>
            <w:r>
              <w:rPr>
                <w:rFonts w:hint="eastAsia" w:ascii="Times New Roman" w:hAnsi="Times New Roman" w:eastAsia="宋体" w:cs="Times New Roman"/>
                <w:color w:val="auto"/>
                <w:kern w:val="2"/>
                <w:sz w:val="21"/>
                <w:szCs w:val="21"/>
                <w:highlight w:val="none"/>
                <w:lang w:val="en-US" w:eastAsia="zh-CN" w:bidi="ar-SA"/>
              </w:rPr>
              <w:t>电子屏</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Times New Roman" w:hAnsi="Times New Roman" w:eastAsia="宋体" w:cs="Times New Roman"/>
                <w:color w:val="auto"/>
                <w:kern w:val="2"/>
                <w:sz w:val="21"/>
                <w:szCs w:val="21"/>
                <w:highlight w:val="none"/>
                <w:lang w:val="en-US" w:eastAsia="zh-CN" w:bidi="ar-SA"/>
              </w:rPr>
              <w:t>打印机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14:paraId="5E1AE433">
            <w:pPr>
              <w:spacing w:line="360" w:lineRule="auto"/>
              <w:rPr>
                <w:rFonts w:hint="default" w:eastAsia="宋体"/>
                <w:color w:val="auto"/>
                <w:sz w:val="21"/>
                <w:szCs w:val="21"/>
                <w:highlight w:val="none"/>
                <w:lang w:val="en-US" w:eastAsia="zh-CN"/>
              </w:rPr>
            </w:pPr>
            <w:r>
              <w:rPr>
                <w:rFonts w:hint="eastAsia" w:ascii="宋体" w:hAnsi="宋体"/>
                <w:color w:val="auto"/>
                <w:sz w:val="21"/>
                <w:szCs w:val="21"/>
                <w:highlight w:val="none"/>
              </w:rPr>
              <w:sym w:font="Wingdings 2" w:char="00A3"/>
            </w:r>
            <w:r>
              <w:rPr>
                <w:rFonts w:hint="eastAsia" w:ascii="Times New Roman" w:hAnsi="Times New Roman" w:eastAsia="宋体" w:cs="Times New Roman"/>
                <w:color w:val="auto"/>
                <w:kern w:val="2"/>
                <w:sz w:val="21"/>
                <w:szCs w:val="21"/>
                <w:highlight w:val="none"/>
                <w:lang w:val="en-US" w:eastAsia="zh-CN" w:bidi="ar-SA"/>
              </w:rPr>
              <w:t>空调机</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 xml:space="preserve">                                                          </w:t>
            </w:r>
          </w:p>
          <w:p w14:paraId="32F89830">
            <w:pPr>
              <w:spacing w:line="360" w:lineRule="auto"/>
              <w:rPr>
                <w:color w:val="auto"/>
                <w:sz w:val="21"/>
                <w:szCs w:val="21"/>
                <w:highlight w:val="none"/>
              </w:rPr>
            </w:pPr>
            <w:r>
              <w:rPr>
                <w:rFonts w:hint="eastAsia" w:ascii="宋体" w:hAnsi="宋体"/>
                <w:color w:val="auto"/>
                <w:sz w:val="21"/>
                <w:szCs w:val="21"/>
                <w:highlight w:val="none"/>
              </w:rPr>
              <w:sym w:font="Wingdings 2" w:char="00A3"/>
            </w:r>
            <w:r>
              <w:rPr>
                <w:rFonts w:hint="eastAsia" w:ascii="Times New Roman" w:hAnsi="Times New Roman" w:eastAsia="宋体" w:cs="Times New Roman"/>
                <w:color w:val="auto"/>
                <w:kern w:val="2"/>
                <w:sz w:val="21"/>
                <w:szCs w:val="21"/>
                <w:highlight w:val="none"/>
                <w:lang w:val="en-US" w:eastAsia="zh-CN" w:bidi="ar-SA"/>
              </w:rPr>
              <w:t>其他设备</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tc>
      </w:tr>
      <w:tr w14:paraId="2401C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4" w:type="dxa"/>
            <w:noWrap w:val="0"/>
            <w:vAlign w:val="center"/>
          </w:tcPr>
          <w:p w14:paraId="09CDFAE3">
            <w:pPr>
              <w:jc w:val="center"/>
              <w:rPr>
                <w:color w:val="auto"/>
                <w:sz w:val="21"/>
                <w:szCs w:val="21"/>
                <w:highlight w:val="none"/>
              </w:rPr>
            </w:pPr>
            <w:r>
              <w:rPr>
                <w:rFonts w:hint="eastAsia"/>
                <w:color w:val="auto"/>
                <w:sz w:val="21"/>
                <w:szCs w:val="21"/>
                <w:highlight w:val="none"/>
              </w:rPr>
              <w:t>设备编号</w:t>
            </w:r>
          </w:p>
        </w:tc>
        <w:tc>
          <w:tcPr>
            <w:tcW w:w="9569" w:type="dxa"/>
            <w:gridSpan w:val="4"/>
            <w:noWrap w:val="0"/>
            <w:vAlign w:val="center"/>
          </w:tcPr>
          <w:p w14:paraId="3608F77E">
            <w:pPr>
              <w:jc w:val="left"/>
              <w:rPr>
                <w:color w:val="auto"/>
                <w:sz w:val="21"/>
                <w:szCs w:val="21"/>
                <w:highlight w:val="none"/>
              </w:rPr>
            </w:pPr>
          </w:p>
        </w:tc>
      </w:tr>
      <w:tr w14:paraId="48BF1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4" w:type="dxa"/>
            <w:vMerge w:val="restart"/>
            <w:noWrap w:val="0"/>
            <w:vAlign w:val="center"/>
          </w:tcPr>
          <w:p w14:paraId="2B2647F4">
            <w:pPr>
              <w:jc w:val="center"/>
              <w:rPr>
                <w:rFonts w:hint="eastAsia" w:eastAsia="仿宋_GB2312"/>
                <w:color w:val="auto"/>
                <w:sz w:val="21"/>
                <w:szCs w:val="21"/>
                <w:highlight w:val="none"/>
                <w:lang w:eastAsia="zh-CN"/>
              </w:rPr>
            </w:pPr>
            <w:r>
              <w:rPr>
                <w:rFonts w:hint="eastAsia"/>
                <w:color w:val="auto"/>
                <w:sz w:val="21"/>
                <w:szCs w:val="21"/>
                <w:highlight w:val="none"/>
                <w:lang w:eastAsia="zh-CN"/>
              </w:rPr>
              <w:t>巡检</w:t>
            </w:r>
            <w:r>
              <w:rPr>
                <w:rFonts w:hint="eastAsia" w:ascii="宋体" w:hAnsi="宋体" w:eastAsia="宋体" w:cs="宋体"/>
                <w:color w:val="auto"/>
                <w:sz w:val="21"/>
                <w:szCs w:val="21"/>
                <w:highlight w:val="none"/>
                <w:lang w:val="en-US" w:eastAsia="zh-CN"/>
              </w:rPr>
              <w:t>/</w:t>
            </w:r>
            <w:r>
              <w:rPr>
                <w:rFonts w:hint="eastAsia"/>
                <w:color w:val="auto"/>
                <w:sz w:val="21"/>
                <w:szCs w:val="21"/>
                <w:highlight w:val="none"/>
                <w:lang w:val="en-US" w:eastAsia="zh-CN"/>
              </w:rPr>
              <w:t>清洁</w:t>
            </w:r>
            <w:r>
              <w:rPr>
                <w:rFonts w:hint="eastAsia"/>
                <w:color w:val="auto"/>
                <w:sz w:val="21"/>
                <w:szCs w:val="21"/>
                <w:highlight w:val="none"/>
                <w:lang w:eastAsia="zh-CN"/>
              </w:rPr>
              <w:t>结果</w:t>
            </w:r>
          </w:p>
        </w:tc>
        <w:tc>
          <w:tcPr>
            <w:tcW w:w="9569" w:type="dxa"/>
            <w:gridSpan w:val="4"/>
            <w:noWrap w:val="0"/>
            <w:vAlign w:val="center"/>
          </w:tcPr>
          <w:p w14:paraId="094E01C6">
            <w:pPr>
              <w:spacing w:line="360" w:lineRule="auto"/>
              <w:rPr>
                <w:rFonts w:hint="eastAsia"/>
                <w:color w:val="auto"/>
                <w:sz w:val="21"/>
                <w:szCs w:val="21"/>
                <w:highlight w:val="none"/>
                <w:lang w:eastAsia="zh-CN"/>
              </w:rPr>
            </w:pPr>
            <w:r>
              <w:rPr>
                <w:rFonts w:hint="eastAsia"/>
                <w:color w:val="auto"/>
                <w:sz w:val="21"/>
                <w:szCs w:val="21"/>
                <w:highlight w:val="none"/>
                <w:lang w:eastAsia="zh-CN"/>
              </w:rPr>
              <w:t>软件巡检</w:t>
            </w:r>
            <w:r>
              <w:rPr>
                <w:rFonts w:hint="eastAsia"/>
                <w:color w:val="auto"/>
                <w:sz w:val="21"/>
                <w:szCs w:val="21"/>
                <w:highlight w:val="none"/>
              </w:rPr>
              <w:t xml:space="preserve">  </w:t>
            </w:r>
            <w:r>
              <w:rPr>
                <w:rFonts w:hint="eastAsia" w:ascii="宋体" w:hAnsi="宋体"/>
                <w:color w:val="auto"/>
                <w:sz w:val="21"/>
                <w:szCs w:val="21"/>
                <w:highlight w:val="none"/>
              </w:rPr>
              <w:t>□</w:t>
            </w:r>
            <w:r>
              <w:rPr>
                <w:rFonts w:hint="eastAsia"/>
                <w:color w:val="auto"/>
                <w:sz w:val="21"/>
                <w:szCs w:val="21"/>
                <w:highlight w:val="none"/>
                <w:lang w:eastAsia="zh-CN"/>
              </w:rPr>
              <w:t>正常</w:t>
            </w:r>
            <w:r>
              <w:rPr>
                <w:rFonts w:hint="eastAsia"/>
                <w:color w:val="auto"/>
                <w:sz w:val="21"/>
                <w:szCs w:val="21"/>
                <w:highlight w:val="none"/>
              </w:rPr>
              <w:t xml:space="preserve">  </w:t>
            </w:r>
            <w:r>
              <w:rPr>
                <w:rFonts w:hint="eastAsia" w:ascii="宋体" w:hAnsi="宋体"/>
                <w:color w:val="auto"/>
                <w:sz w:val="21"/>
                <w:szCs w:val="21"/>
                <w:highlight w:val="none"/>
              </w:rPr>
              <w:t>□</w:t>
            </w:r>
            <w:r>
              <w:rPr>
                <w:rFonts w:hint="eastAsia"/>
                <w:color w:val="auto"/>
                <w:sz w:val="21"/>
                <w:szCs w:val="21"/>
                <w:highlight w:val="none"/>
                <w:lang w:eastAsia="zh-CN"/>
              </w:rPr>
              <w:t>不正常</w:t>
            </w:r>
            <w:r>
              <w:rPr>
                <w:rFonts w:hint="eastAsia"/>
                <w:color w:val="auto"/>
                <w:sz w:val="21"/>
                <w:szCs w:val="21"/>
                <w:highlight w:val="none"/>
              </w:rPr>
              <w:t xml:space="preserve"> </w:t>
            </w:r>
            <w:r>
              <w:rPr>
                <w:rFonts w:hint="eastAsia"/>
                <w:color w:val="auto"/>
                <w:sz w:val="21"/>
                <w:szCs w:val="21"/>
                <w:highlight w:val="none"/>
                <w:lang w:val="en-US" w:eastAsia="zh-CN"/>
              </w:rPr>
              <w:t xml:space="preserve">      </w:t>
            </w:r>
            <w:r>
              <w:rPr>
                <w:rFonts w:hint="eastAsia"/>
                <w:color w:val="auto"/>
                <w:sz w:val="21"/>
                <w:szCs w:val="21"/>
                <w:highlight w:val="none"/>
              </w:rPr>
              <w:t xml:space="preserve"> </w:t>
            </w:r>
            <w:r>
              <w:rPr>
                <w:rFonts w:hint="eastAsia"/>
                <w:color w:val="auto"/>
                <w:sz w:val="21"/>
                <w:szCs w:val="21"/>
                <w:highlight w:val="none"/>
                <w:lang w:eastAsia="zh-CN"/>
              </w:rPr>
              <w:t>硬件巡检</w:t>
            </w:r>
            <w:r>
              <w:rPr>
                <w:rFonts w:hint="eastAsia"/>
                <w:color w:val="auto"/>
                <w:sz w:val="21"/>
                <w:szCs w:val="21"/>
                <w:highlight w:val="none"/>
                <w:lang w:val="en-US" w:eastAsia="zh-CN"/>
              </w:rPr>
              <w:t>清洁</w:t>
            </w:r>
            <w:r>
              <w:rPr>
                <w:rFonts w:hint="eastAsia"/>
                <w:color w:val="auto"/>
                <w:sz w:val="21"/>
                <w:szCs w:val="21"/>
                <w:highlight w:val="none"/>
              </w:rPr>
              <w:t xml:space="preserve">  </w:t>
            </w:r>
            <w:r>
              <w:rPr>
                <w:rFonts w:hint="eastAsia" w:ascii="宋体" w:hAnsi="宋体"/>
                <w:color w:val="auto"/>
                <w:sz w:val="21"/>
                <w:szCs w:val="21"/>
                <w:highlight w:val="none"/>
              </w:rPr>
              <w:t>□</w:t>
            </w:r>
            <w:r>
              <w:rPr>
                <w:rFonts w:hint="eastAsia"/>
                <w:color w:val="auto"/>
                <w:sz w:val="21"/>
                <w:szCs w:val="21"/>
                <w:highlight w:val="none"/>
                <w:lang w:eastAsia="zh-CN"/>
              </w:rPr>
              <w:t>正常</w:t>
            </w:r>
            <w:r>
              <w:rPr>
                <w:rFonts w:hint="eastAsia"/>
                <w:color w:val="auto"/>
                <w:sz w:val="21"/>
                <w:szCs w:val="21"/>
                <w:highlight w:val="none"/>
              </w:rPr>
              <w:t xml:space="preserve">  </w:t>
            </w:r>
            <w:r>
              <w:rPr>
                <w:rFonts w:hint="eastAsia" w:ascii="宋体" w:hAnsi="宋体"/>
                <w:color w:val="auto"/>
                <w:sz w:val="21"/>
                <w:szCs w:val="21"/>
                <w:highlight w:val="none"/>
              </w:rPr>
              <w:t>□</w:t>
            </w:r>
            <w:r>
              <w:rPr>
                <w:rFonts w:hint="eastAsia"/>
                <w:color w:val="auto"/>
                <w:sz w:val="21"/>
                <w:szCs w:val="21"/>
                <w:highlight w:val="none"/>
                <w:lang w:eastAsia="zh-CN"/>
              </w:rPr>
              <w:t>不正常</w:t>
            </w:r>
          </w:p>
          <w:p w14:paraId="09B3B45D">
            <w:pPr>
              <w:spacing w:line="360" w:lineRule="auto"/>
              <w:jc w:val="both"/>
              <w:rPr>
                <w:rFonts w:hint="default"/>
                <w:color w:val="auto"/>
                <w:sz w:val="21"/>
                <w:szCs w:val="21"/>
                <w:highlight w:val="none"/>
                <w:lang w:val="en-US" w:eastAsia="zh-CN"/>
              </w:rPr>
            </w:pPr>
            <w:r>
              <w:rPr>
                <w:rFonts w:hint="eastAsia"/>
                <w:color w:val="auto"/>
                <w:sz w:val="21"/>
                <w:szCs w:val="21"/>
                <w:highlight w:val="none"/>
                <w:lang w:eastAsia="zh-CN"/>
              </w:rPr>
              <w:t>网络巡检</w:t>
            </w:r>
            <w:r>
              <w:rPr>
                <w:rFonts w:hint="eastAsia"/>
                <w:color w:val="auto"/>
                <w:sz w:val="21"/>
                <w:szCs w:val="21"/>
                <w:highlight w:val="none"/>
              </w:rPr>
              <w:t xml:space="preserve">  </w:t>
            </w:r>
            <w:r>
              <w:rPr>
                <w:rFonts w:hint="eastAsia" w:ascii="宋体" w:hAnsi="宋体"/>
                <w:color w:val="auto"/>
                <w:sz w:val="21"/>
                <w:szCs w:val="21"/>
                <w:highlight w:val="none"/>
              </w:rPr>
              <w:t>□</w:t>
            </w:r>
            <w:r>
              <w:rPr>
                <w:rFonts w:hint="eastAsia"/>
                <w:color w:val="auto"/>
                <w:sz w:val="21"/>
                <w:szCs w:val="21"/>
                <w:highlight w:val="none"/>
                <w:lang w:eastAsia="zh-CN"/>
              </w:rPr>
              <w:t>正常</w:t>
            </w:r>
            <w:r>
              <w:rPr>
                <w:rFonts w:hint="eastAsia"/>
                <w:color w:val="auto"/>
                <w:sz w:val="21"/>
                <w:szCs w:val="21"/>
                <w:highlight w:val="none"/>
              </w:rPr>
              <w:t xml:space="preserve">  </w:t>
            </w:r>
            <w:r>
              <w:rPr>
                <w:rFonts w:hint="eastAsia" w:ascii="宋体" w:hAnsi="宋体"/>
                <w:color w:val="auto"/>
                <w:sz w:val="21"/>
                <w:szCs w:val="21"/>
                <w:highlight w:val="none"/>
              </w:rPr>
              <w:t>□</w:t>
            </w:r>
            <w:r>
              <w:rPr>
                <w:rFonts w:hint="eastAsia"/>
                <w:color w:val="auto"/>
                <w:sz w:val="21"/>
                <w:szCs w:val="21"/>
                <w:highlight w:val="none"/>
                <w:lang w:eastAsia="zh-CN"/>
              </w:rPr>
              <w:t>不正常</w:t>
            </w:r>
            <w:r>
              <w:rPr>
                <w:rFonts w:hint="eastAsia"/>
                <w:color w:val="auto"/>
                <w:sz w:val="21"/>
                <w:szCs w:val="21"/>
                <w:highlight w:val="none"/>
                <w:lang w:val="en-US" w:eastAsia="zh-CN"/>
              </w:rPr>
              <w:t xml:space="preserve">        </w:t>
            </w:r>
            <w:r>
              <w:rPr>
                <w:rFonts w:hint="eastAsia"/>
                <w:color w:val="auto"/>
                <w:sz w:val="21"/>
                <w:szCs w:val="21"/>
                <w:highlight w:val="none"/>
              </w:rPr>
              <w:t>业务功能</w:t>
            </w:r>
            <w:r>
              <w:rPr>
                <w:rFonts w:hint="eastAsia"/>
                <w:color w:val="auto"/>
                <w:sz w:val="21"/>
                <w:szCs w:val="21"/>
                <w:highlight w:val="none"/>
                <w:lang w:val="en-US" w:eastAsia="zh-CN"/>
              </w:rPr>
              <w:t xml:space="preserve">      </w:t>
            </w:r>
            <w:r>
              <w:rPr>
                <w:rFonts w:hint="eastAsia" w:ascii="宋体" w:hAnsi="宋体"/>
                <w:color w:val="auto"/>
                <w:sz w:val="21"/>
                <w:szCs w:val="21"/>
                <w:highlight w:val="none"/>
              </w:rPr>
              <w:t>□</w:t>
            </w:r>
            <w:r>
              <w:rPr>
                <w:rFonts w:hint="eastAsia"/>
                <w:color w:val="auto"/>
                <w:sz w:val="21"/>
                <w:szCs w:val="21"/>
                <w:highlight w:val="none"/>
              </w:rPr>
              <w:t xml:space="preserve">正常可用      </w:t>
            </w:r>
            <w:r>
              <w:rPr>
                <w:rFonts w:hint="eastAsia" w:ascii="宋体" w:hAnsi="宋体"/>
                <w:color w:val="auto"/>
                <w:sz w:val="21"/>
                <w:szCs w:val="21"/>
                <w:highlight w:val="none"/>
              </w:rPr>
              <w:t>□不能使用</w:t>
            </w:r>
          </w:p>
        </w:tc>
      </w:tr>
      <w:tr w14:paraId="00105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trPr>
        <w:tc>
          <w:tcPr>
            <w:tcW w:w="1554" w:type="dxa"/>
            <w:vMerge w:val="continue"/>
            <w:noWrap w:val="0"/>
            <w:vAlign w:val="center"/>
          </w:tcPr>
          <w:p w14:paraId="6787F342">
            <w:pPr>
              <w:jc w:val="center"/>
              <w:rPr>
                <w:color w:val="auto"/>
                <w:sz w:val="21"/>
                <w:szCs w:val="21"/>
                <w:highlight w:val="none"/>
              </w:rPr>
            </w:pPr>
          </w:p>
        </w:tc>
        <w:tc>
          <w:tcPr>
            <w:tcW w:w="9569" w:type="dxa"/>
            <w:gridSpan w:val="4"/>
            <w:noWrap w:val="0"/>
            <w:vAlign w:val="top"/>
          </w:tcPr>
          <w:p w14:paraId="5A32B42F">
            <w:pPr>
              <w:rPr>
                <w:color w:val="auto"/>
                <w:sz w:val="21"/>
                <w:szCs w:val="21"/>
                <w:highlight w:val="none"/>
              </w:rPr>
            </w:pPr>
            <w:r>
              <w:rPr>
                <w:rFonts w:hint="eastAsia"/>
                <w:color w:val="auto"/>
                <w:sz w:val="21"/>
                <w:szCs w:val="21"/>
                <w:highlight w:val="none"/>
                <w:lang w:eastAsia="zh-CN"/>
              </w:rPr>
              <w:t>结果</w:t>
            </w:r>
            <w:r>
              <w:rPr>
                <w:rFonts w:hint="eastAsia"/>
                <w:color w:val="auto"/>
                <w:sz w:val="21"/>
                <w:szCs w:val="21"/>
                <w:highlight w:val="none"/>
              </w:rPr>
              <w:t>描述：</w:t>
            </w:r>
          </w:p>
          <w:p w14:paraId="3DF4B3EA">
            <w:pPr>
              <w:rPr>
                <w:color w:val="auto"/>
                <w:sz w:val="21"/>
                <w:szCs w:val="21"/>
                <w:highlight w:val="none"/>
              </w:rPr>
            </w:pPr>
          </w:p>
          <w:p w14:paraId="53FA4560">
            <w:pPr>
              <w:rPr>
                <w:rFonts w:ascii="宋体" w:hAnsi="宋体"/>
                <w:color w:val="auto"/>
                <w:sz w:val="21"/>
                <w:szCs w:val="21"/>
                <w:highlight w:val="none"/>
              </w:rPr>
            </w:pPr>
          </w:p>
          <w:p w14:paraId="155C761A">
            <w:pPr>
              <w:pStyle w:val="2"/>
              <w:rPr>
                <w:rFonts w:ascii="宋体" w:hAnsi="宋体"/>
                <w:color w:val="auto"/>
                <w:sz w:val="21"/>
                <w:szCs w:val="21"/>
                <w:highlight w:val="none"/>
              </w:rPr>
            </w:pPr>
          </w:p>
          <w:p w14:paraId="27AF511B">
            <w:pPr>
              <w:pStyle w:val="3"/>
            </w:pPr>
          </w:p>
        </w:tc>
      </w:tr>
      <w:tr w14:paraId="3673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554" w:type="dxa"/>
            <w:noWrap w:val="0"/>
            <w:vAlign w:val="center"/>
          </w:tcPr>
          <w:p w14:paraId="31014BDA">
            <w:pPr>
              <w:jc w:val="center"/>
              <w:rPr>
                <w:rFonts w:hint="eastAsia" w:ascii="Calibri" w:hAnsi="Calibri" w:eastAsia="仿宋_GB2312" w:cs="Times New Roman"/>
                <w:color w:val="auto"/>
                <w:sz w:val="21"/>
                <w:szCs w:val="21"/>
                <w:highlight w:val="none"/>
                <w:lang w:val="en-US" w:eastAsia="zh-CN" w:bidi="ar-SA"/>
              </w:rPr>
            </w:pPr>
            <w:r>
              <w:rPr>
                <w:rFonts w:hint="eastAsia"/>
                <w:color w:val="auto"/>
                <w:sz w:val="21"/>
                <w:szCs w:val="21"/>
                <w:highlight w:val="none"/>
              </w:rPr>
              <w:t>耗材</w:t>
            </w:r>
            <w:r>
              <w:rPr>
                <w:rFonts w:hint="eastAsia"/>
                <w:color w:val="auto"/>
                <w:sz w:val="21"/>
                <w:szCs w:val="21"/>
                <w:highlight w:val="none"/>
                <w:lang w:val="en-US" w:eastAsia="zh-CN"/>
              </w:rPr>
              <w:t>检查结果</w:t>
            </w:r>
          </w:p>
        </w:tc>
        <w:tc>
          <w:tcPr>
            <w:tcW w:w="9569" w:type="dxa"/>
            <w:gridSpan w:val="4"/>
            <w:noWrap w:val="0"/>
            <w:vAlign w:val="center"/>
          </w:tcPr>
          <w:p w14:paraId="6B24E2BE">
            <w:pPr>
              <w:spacing w:line="360" w:lineRule="auto"/>
              <w:rPr>
                <w:rFonts w:ascii="宋体" w:hAnsi="宋体"/>
                <w:color w:val="auto"/>
                <w:sz w:val="21"/>
                <w:szCs w:val="21"/>
                <w:highlight w:val="none"/>
              </w:rPr>
            </w:pPr>
            <w:r>
              <w:rPr>
                <w:rFonts w:hint="eastAsia" w:ascii="宋体" w:hAnsi="宋体"/>
                <w:color w:val="auto"/>
                <w:sz w:val="21"/>
                <w:szCs w:val="21"/>
                <w:highlight w:val="none"/>
              </w:rPr>
              <w:t>耗材包括发票、色带、打印纸等</w:t>
            </w:r>
          </w:p>
          <w:p w14:paraId="094DA37F">
            <w:pPr>
              <w:spacing w:line="360" w:lineRule="auto"/>
              <w:rPr>
                <w:rFonts w:ascii="Calibri" w:hAnsi="Calibri" w:eastAsia="仿宋_GB2312" w:cs="Times New Roman"/>
                <w:color w:val="auto"/>
                <w:sz w:val="21"/>
                <w:szCs w:val="21"/>
                <w:highlight w:val="none"/>
                <w:lang w:val="en-US" w:eastAsia="zh-CN" w:bidi="ar-SA"/>
              </w:rPr>
            </w:pPr>
            <w:r>
              <w:rPr>
                <w:rFonts w:hint="eastAsia" w:ascii="宋体" w:hAnsi="宋体"/>
                <w:color w:val="auto"/>
                <w:sz w:val="21"/>
                <w:szCs w:val="21"/>
                <w:highlight w:val="none"/>
              </w:rPr>
              <w:t>□</w:t>
            </w:r>
            <w:r>
              <w:rPr>
                <w:rFonts w:hint="eastAsia"/>
                <w:color w:val="auto"/>
                <w:sz w:val="21"/>
                <w:szCs w:val="21"/>
                <w:highlight w:val="none"/>
              </w:rPr>
              <w:t xml:space="preserve">耗材充足       </w:t>
            </w:r>
            <w:r>
              <w:rPr>
                <w:rFonts w:hint="eastAsia" w:ascii="宋体" w:hAnsi="宋体"/>
                <w:color w:val="auto"/>
                <w:sz w:val="21"/>
                <w:szCs w:val="21"/>
                <w:highlight w:val="none"/>
              </w:rPr>
              <w:t>□耗材不足，已更换       □耗材不足，已通知客户         □</w:t>
            </w:r>
            <w:r>
              <w:rPr>
                <w:rFonts w:hint="eastAsia"/>
                <w:color w:val="auto"/>
                <w:sz w:val="21"/>
                <w:szCs w:val="21"/>
                <w:highlight w:val="none"/>
              </w:rPr>
              <w:t>无本项</w:t>
            </w:r>
          </w:p>
        </w:tc>
      </w:tr>
      <w:tr w14:paraId="4EF2B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54" w:type="dxa"/>
            <w:vMerge w:val="restart"/>
            <w:noWrap w:val="0"/>
            <w:vAlign w:val="center"/>
          </w:tcPr>
          <w:p w14:paraId="64F3AEC4">
            <w:pPr>
              <w:jc w:val="center"/>
              <w:rPr>
                <w:rFonts w:ascii="Calibri" w:hAnsi="Calibri" w:eastAsia="仿宋_GB2312" w:cs="Times New Roman"/>
                <w:color w:val="auto"/>
                <w:sz w:val="21"/>
                <w:szCs w:val="21"/>
                <w:highlight w:val="none"/>
                <w:lang w:val="en-US" w:eastAsia="zh-CN" w:bidi="ar-SA"/>
              </w:rPr>
            </w:pPr>
            <w:r>
              <w:rPr>
                <w:rFonts w:hint="eastAsia"/>
                <w:color w:val="auto"/>
                <w:sz w:val="21"/>
                <w:szCs w:val="21"/>
                <w:highlight w:val="none"/>
              </w:rPr>
              <w:t>设备培训</w:t>
            </w:r>
          </w:p>
          <w:p w14:paraId="0B294F5B">
            <w:pPr>
              <w:jc w:val="center"/>
              <w:rPr>
                <w:rFonts w:hint="eastAsia"/>
                <w:color w:val="auto"/>
                <w:sz w:val="21"/>
                <w:szCs w:val="21"/>
                <w:highlight w:val="none"/>
              </w:rPr>
            </w:pPr>
          </w:p>
        </w:tc>
        <w:tc>
          <w:tcPr>
            <w:tcW w:w="9569" w:type="dxa"/>
            <w:gridSpan w:val="4"/>
            <w:noWrap w:val="0"/>
            <w:vAlign w:val="center"/>
          </w:tcPr>
          <w:p w14:paraId="41AC35E3">
            <w:pPr>
              <w:rPr>
                <w:rFonts w:hint="eastAsia" w:ascii="Calibri" w:hAnsi="Calibri" w:eastAsia="仿宋_GB2312" w:cs="Times New Roman"/>
                <w:color w:val="auto"/>
                <w:sz w:val="21"/>
                <w:szCs w:val="21"/>
                <w:highlight w:val="none"/>
                <w:lang w:val="en-US" w:eastAsia="zh-CN" w:bidi="ar-SA"/>
              </w:rPr>
            </w:pPr>
            <w:r>
              <w:rPr>
                <w:rFonts w:hint="eastAsia" w:ascii="宋体" w:hAnsi="宋体"/>
                <w:color w:val="auto"/>
                <w:sz w:val="21"/>
                <w:szCs w:val="21"/>
                <w:highlight w:val="none"/>
              </w:rPr>
              <w:t>□</w:t>
            </w:r>
            <w:r>
              <w:rPr>
                <w:rFonts w:hint="eastAsia"/>
                <w:color w:val="auto"/>
                <w:sz w:val="21"/>
                <w:szCs w:val="21"/>
                <w:highlight w:val="none"/>
              </w:rPr>
              <w:t xml:space="preserve">完成           </w:t>
            </w:r>
            <w:r>
              <w:rPr>
                <w:rFonts w:hint="eastAsia" w:ascii="宋体" w:hAnsi="宋体"/>
                <w:color w:val="auto"/>
                <w:sz w:val="21"/>
                <w:szCs w:val="21"/>
                <w:highlight w:val="none"/>
              </w:rPr>
              <w:t xml:space="preserve">□未完成 </w:t>
            </w:r>
          </w:p>
        </w:tc>
      </w:tr>
      <w:tr w14:paraId="514C1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554" w:type="dxa"/>
            <w:vMerge w:val="continue"/>
            <w:noWrap w:val="0"/>
            <w:vAlign w:val="center"/>
          </w:tcPr>
          <w:p w14:paraId="730BDA33">
            <w:pPr>
              <w:jc w:val="center"/>
              <w:rPr>
                <w:rFonts w:hint="eastAsia"/>
                <w:color w:val="auto"/>
                <w:sz w:val="21"/>
                <w:szCs w:val="21"/>
                <w:highlight w:val="none"/>
              </w:rPr>
            </w:pPr>
          </w:p>
        </w:tc>
        <w:tc>
          <w:tcPr>
            <w:tcW w:w="9569" w:type="dxa"/>
            <w:gridSpan w:val="4"/>
            <w:noWrap w:val="0"/>
            <w:vAlign w:val="top"/>
          </w:tcPr>
          <w:p w14:paraId="27AB5D58">
            <w:pPr>
              <w:rPr>
                <w:rFonts w:ascii="宋体" w:hAnsi="宋体"/>
                <w:color w:val="auto"/>
                <w:sz w:val="21"/>
                <w:szCs w:val="21"/>
                <w:highlight w:val="none"/>
              </w:rPr>
            </w:pPr>
            <w:r>
              <w:rPr>
                <w:rFonts w:hint="eastAsia" w:ascii="宋体" w:hAnsi="宋体"/>
                <w:color w:val="auto"/>
                <w:sz w:val="21"/>
                <w:szCs w:val="21"/>
                <w:highlight w:val="none"/>
              </w:rPr>
              <w:t>情况描述：</w:t>
            </w:r>
          </w:p>
          <w:p w14:paraId="15940F33">
            <w:pPr>
              <w:rPr>
                <w:rFonts w:hint="eastAsia" w:ascii="宋体" w:hAnsi="宋体" w:eastAsia="仿宋_GB2312" w:cs="Times New Roman"/>
                <w:color w:val="auto"/>
                <w:sz w:val="21"/>
                <w:szCs w:val="21"/>
                <w:highlight w:val="none"/>
                <w:lang w:val="en-US" w:eastAsia="zh-CN" w:bidi="ar-SA"/>
              </w:rPr>
            </w:pPr>
          </w:p>
        </w:tc>
      </w:tr>
      <w:tr w14:paraId="0D59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11123" w:type="dxa"/>
            <w:gridSpan w:val="5"/>
            <w:noWrap w:val="0"/>
            <w:vAlign w:val="top"/>
          </w:tcPr>
          <w:p w14:paraId="26097D79">
            <w:pPr>
              <w:spacing w:line="360" w:lineRule="auto"/>
              <w:rPr>
                <w:color w:val="auto"/>
                <w:sz w:val="21"/>
                <w:szCs w:val="21"/>
                <w:highlight w:val="none"/>
              </w:rPr>
            </w:pPr>
            <w:r>
              <w:rPr>
                <w:rFonts w:hint="eastAsia"/>
                <w:color w:val="auto"/>
                <w:sz w:val="21"/>
                <w:szCs w:val="21"/>
                <w:highlight w:val="none"/>
              </w:rPr>
              <w:t>服务评价：</w:t>
            </w:r>
          </w:p>
          <w:p w14:paraId="7C08B905">
            <w:pPr>
              <w:spacing w:line="360" w:lineRule="auto"/>
              <w:rPr>
                <w:rFonts w:ascii="宋体" w:hAnsi="宋体"/>
                <w:color w:val="auto"/>
                <w:sz w:val="21"/>
                <w:szCs w:val="21"/>
                <w:highlight w:val="none"/>
              </w:rPr>
            </w:pPr>
            <w:r>
              <w:rPr>
                <w:rFonts w:hint="eastAsia" w:ascii="宋体" w:hAnsi="宋体"/>
                <w:color w:val="auto"/>
                <w:sz w:val="21"/>
                <w:szCs w:val="21"/>
                <w:highlight w:val="none"/>
              </w:rPr>
              <w:t>处理情况：□已解决</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□未解决</w:t>
            </w:r>
          </w:p>
          <w:p w14:paraId="5A0843DE">
            <w:pPr>
              <w:spacing w:line="360" w:lineRule="auto"/>
              <w:rPr>
                <w:rFonts w:ascii="宋体" w:hAnsi="宋体"/>
                <w:color w:val="auto"/>
                <w:sz w:val="21"/>
                <w:szCs w:val="21"/>
                <w:highlight w:val="none"/>
              </w:rPr>
            </w:pPr>
            <w:r>
              <w:rPr>
                <w:rFonts w:hint="eastAsia" w:ascii="宋体" w:hAnsi="宋体"/>
                <w:color w:val="auto"/>
                <w:sz w:val="21"/>
                <w:szCs w:val="21"/>
                <w:highlight w:val="none"/>
              </w:rPr>
              <w:t>响应速度：□及时</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□一般</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r>
              <w:rPr>
                <w:rFonts w:hint="eastAsia" w:ascii="宋体" w:hAnsi="宋体"/>
                <w:color w:val="auto"/>
                <w:sz w:val="21"/>
                <w:szCs w:val="21"/>
                <w:highlight w:val="none"/>
                <w:lang w:eastAsia="zh-CN"/>
              </w:rPr>
              <w:t>□</w:t>
            </w:r>
            <w:r>
              <w:rPr>
                <w:rFonts w:hint="eastAsia" w:ascii="宋体" w:hAnsi="宋体"/>
                <w:color w:val="auto"/>
                <w:sz w:val="21"/>
                <w:szCs w:val="21"/>
                <w:highlight w:val="none"/>
              </w:rPr>
              <w:t>很慢</w:t>
            </w:r>
          </w:p>
          <w:p w14:paraId="3E77D12C">
            <w:pPr>
              <w:spacing w:line="360" w:lineRule="auto"/>
              <w:rPr>
                <w:rFonts w:ascii="宋体" w:hAnsi="宋体"/>
                <w:color w:val="auto"/>
                <w:sz w:val="21"/>
                <w:szCs w:val="21"/>
                <w:highlight w:val="none"/>
              </w:rPr>
            </w:pPr>
            <w:r>
              <w:rPr>
                <w:rFonts w:hint="eastAsia" w:ascii="宋体" w:hAnsi="宋体"/>
                <w:color w:val="auto"/>
                <w:sz w:val="21"/>
                <w:szCs w:val="21"/>
                <w:highlight w:val="none"/>
              </w:rPr>
              <w:t>技术水平：□很高</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□一般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□很差</w:t>
            </w:r>
          </w:p>
          <w:p w14:paraId="717F20E0">
            <w:pPr>
              <w:spacing w:line="360" w:lineRule="auto"/>
              <w:rPr>
                <w:color w:val="auto"/>
                <w:sz w:val="21"/>
                <w:szCs w:val="21"/>
                <w:highlight w:val="none"/>
              </w:rPr>
            </w:pPr>
            <w:r>
              <w:rPr>
                <w:rFonts w:hint="eastAsia" w:ascii="宋体" w:hAnsi="宋体"/>
                <w:color w:val="auto"/>
                <w:sz w:val="21"/>
                <w:szCs w:val="21"/>
                <w:highlight w:val="none"/>
              </w:rPr>
              <w:t>服务态度：□很满意</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□基本满意 □不满意</w:t>
            </w:r>
          </w:p>
        </w:tc>
      </w:tr>
      <w:tr w14:paraId="7624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1914" w:type="dxa"/>
            <w:gridSpan w:val="2"/>
            <w:noWrap w:val="0"/>
            <w:vAlign w:val="center"/>
          </w:tcPr>
          <w:p w14:paraId="17773B49">
            <w:pPr>
              <w:jc w:val="center"/>
              <w:rPr>
                <w:rFonts w:hint="default" w:eastAsia="仿宋_GB2312"/>
                <w:color w:val="auto"/>
                <w:sz w:val="21"/>
                <w:szCs w:val="21"/>
                <w:highlight w:val="none"/>
                <w:lang w:val="en-US" w:eastAsia="zh-CN"/>
              </w:rPr>
            </w:pPr>
            <w:r>
              <w:rPr>
                <w:rFonts w:hint="eastAsia"/>
                <w:color w:val="auto"/>
                <w:sz w:val="21"/>
                <w:szCs w:val="21"/>
                <w:highlight w:val="none"/>
                <w:lang w:val="en-US" w:eastAsia="zh-CN"/>
              </w:rPr>
              <w:t>维护人员（签名）</w:t>
            </w:r>
          </w:p>
        </w:tc>
        <w:tc>
          <w:tcPr>
            <w:tcW w:w="3654" w:type="dxa"/>
            <w:noWrap w:val="0"/>
            <w:vAlign w:val="center"/>
          </w:tcPr>
          <w:p w14:paraId="6594A81B">
            <w:pPr>
              <w:jc w:val="center"/>
              <w:rPr>
                <w:color w:val="auto"/>
                <w:sz w:val="21"/>
                <w:szCs w:val="21"/>
                <w:highlight w:val="none"/>
              </w:rPr>
            </w:pPr>
          </w:p>
          <w:p w14:paraId="44A7DB83">
            <w:pPr>
              <w:jc w:val="center"/>
              <w:rPr>
                <w:color w:val="auto"/>
                <w:sz w:val="21"/>
                <w:szCs w:val="21"/>
                <w:highlight w:val="none"/>
              </w:rPr>
            </w:pPr>
          </w:p>
          <w:p w14:paraId="2B65A63E">
            <w:pPr>
              <w:jc w:val="center"/>
              <w:rPr>
                <w:color w:val="auto"/>
                <w:sz w:val="21"/>
                <w:szCs w:val="21"/>
                <w:highlight w:val="none"/>
              </w:rPr>
            </w:pPr>
          </w:p>
        </w:tc>
        <w:tc>
          <w:tcPr>
            <w:tcW w:w="2146" w:type="dxa"/>
            <w:noWrap w:val="0"/>
            <w:vAlign w:val="center"/>
          </w:tcPr>
          <w:p w14:paraId="0748967A">
            <w:pPr>
              <w:jc w:val="center"/>
              <w:rPr>
                <w:color w:val="auto"/>
                <w:sz w:val="21"/>
                <w:szCs w:val="21"/>
                <w:highlight w:val="none"/>
              </w:rPr>
            </w:pPr>
            <w:r>
              <w:rPr>
                <w:rFonts w:hint="eastAsia"/>
                <w:color w:val="auto"/>
                <w:sz w:val="21"/>
                <w:szCs w:val="21"/>
                <w:highlight w:val="none"/>
                <w:lang w:val="en-US" w:eastAsia="zh-CN"/>
              </w:rPr>
              <w:t>营业厅人员（</w:t>
            </w:r>
            <w:r>
              <w:rPr>
                <w:rFonts w:hint="eastAsia"/>
                <w:color w:val="auto"/>
                <w:sz w:val="21"/>
                <w:szCs w:val="21"/>
                <w:highlight w:val="none"/>
              </w:rPr>
              <w:t>签名</w:t>
            </w:r>
            <w:r>
              <w:rPr>
                <w:rFonts w:hint="eastAsia"/>
                <w:color w:val="auto"/>
                <w:sz w:val="21"/>
                <w:szCs w:val="21"/>
                <w:highlight w:val="none"/>
                <w:lang w:eastAsia="zh-CN"/>
              </w:rPr>
              <w:t>）</w:t>
            </w:r>
          </w:p>
        </w:tc>
        <w:tc>
          <w:tcPr>
            <w:tcW w:w="3409" w:type="dxa"/>
            <w:noWrap w:val="0"/>
            <w:vAlign w:val="top"/>
          </w:tcPr>
          <w:p w14:paraId="3A537F13">
            <w:pPr>
              <w:rPr>
                <w:color w:val="auto"/>
                <w:sz w:val="21"/>
                <w:szCs w:val="21"/>
                <w:highlight w:val="none"/>
              </w:rPr>
            </w:pPr>
          </w:p>
          <w:p w14:paraId="2ED1F65A">
            <w:pPr>
              <w:rPr>
                <w:color w:val="auto"/>
                <w:sz w:val="21"/>
                <w:szCs w:val="21"/>
                <w:highlight w:val="none"/>
              </w:rPr>
            </w:pPr>
          </w:p>
          <w:p w14:paraId="016A9895">
            <w:pPr>
              <w:rPr>
                <w:color w:val="auto"/>
                <w:sz w:val="21"/>
                <w:szCs w:val="21"/>
                <w:highlight w:val="none"/>
              </w:rPr>
            </w:pPr>
          </w:p>
        </w:tc>
      </w:tr>
      <w:tr w14:paraId="3F9D5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14" w:type="dxa"/>
            <w:gridSpan w:val="2"/>
            <w:noWrap w:val="0"/>
            <w:vAlign w:val="center"/>
          </w:tcPr>
          <w:p w14:paraId="14906EA8">
            <w:pPr>
              <w:jc w:val="center"/>
              <w:rPr>
                <w:color w:val="auto"/>
                <w:sz w:val="21"/>
                <w:szCs w:val="21"/>
                <w:highlight w:val="none"/>
              </w:rPr>
            </w:pPr>
            <w:r>
              <w:rPr>
                <w:rFonts w:hint="eastAsia"/>
                <w:color w:val="auto"/>
                <w:sz w:val="21"/>
                <w:szCs w:val="21"/>
                <w:highlight w:val="none"/>
              </w:rPr>
              <w:t>日期</w:t>
            </w:r>
          </w:p>
        </w:tc>
        <w:tc>
          <w:tcPr>
            <w:tcW w:w="3654" w:type="dxa"/>
            <w:noWrap w:val="0"/>
            <w:vAlign w:val="center"/>
          </w:tcPr>
          <w:p w14:paraId="4F62A3BA">
            <w:pPr>
              <w:jc w:val="center"/>
              <w:rPr>
                <w:color w:val="auto"/>
                <w:sz w:val="21"/>
                <w:szCs w:val="21"/>
                <w:highlight w:val="none"/>
              </w:rPr>
            </w:pPr>
          </w:p>
        </w:tc>
        <w:tc>
          <w:tcPr>
            <w:tcW w:w="2146" w:type="dxa"/>
            <w:noWrap w:val="0"/>
            <w:vAlign w:val="center"/>
          </w:tcPr>
          <w:p w14:paraId="31308566">
            <w:pPr>
              <w:jc w:val="center"/>
              <w:rPr>
                <w:color w:val="auto"/>
                <w:sz w:val="21"/>
                <w:szCs w:val="21"/>
                <w:highlight w:val="none"/>
              </w:rPr>
            </w:pPr>
            <w:r>
              <w:rPr>
                <w:rFonts w:hint="eastAsia"/>
                <w:color w:val="auto"/>
                <w:sz w:val="21"/>
                <w:szCs w:val="21"/>
                <w:highlight w:val="none"/>
              </w:rPr>
              <w:t>日期</w:t>
            </w:r>
          </w:p>
        </w:tc>
        <w:tc>
          <w:tcPr>
            <w:tcW w:w="3409" w:type="dxa"/>
            <w:noWrap w:val="0"/>
            <w:vAlign w:val="top"/>
          </w:tcPr>
          <w:p w14:paraId="7161B991">
            <w:pPr>
              <w:rPr>
                <w:color w:val="auto"/>
                <w:sz w:val="21"/>
                <w:szCs w:val="21"/>
                <w:highlight w:val="none"/>
              </w:rPr>
            </w:pPr>
          </w:p>
        </w:tc>
      </w:tr>
    </w:tbl>
    <w:p w14:paraId="05D7B157">
      <w:pPr>
        <w:bidi w:val="0"/>
        <w:rPr>
          <w:rFonts w:hint="eastAsia"/>
          <w:color w:val="auto"/>
          <w:highlight w:val="none"/>
        </w:rPr>
      </w:pPr>
    </w:p>
    <w:p w14:paraId="0C8331D1">
      <w:pPr>
        <w:pStyle w:val="2"/>
        <w:rPr>
          <w:rFonts w:hint="eastAsia"/>
          <w:lang w:eastAsia="zh-CN"/>
        </w:rPr>
      </w:pPr>
    </w:p>
    <w:p w14:paraId="370C6426">
      <w:pPr>
        <w:pStyle w:val="2"/>
        <w:rPr>
          <w:rFonts w:hint="eastAsia"/>
          <w:lang w:eastAsia="zh-CN"/>
        </w:rPr>
      </w:pPr>
    </w:p>
    <w:p w14:paraId="0D1E86EE">
      <w:pPr>
        <w:pStyle w:val="2"/>
        <w:rPr>
          <w:rFonts w:hint="eastAsia"/>
          <w:lang w:eastAsia="zh-CN"/>
        </w:rPr>
      </w:pPr>
      <w:r>
        <w:rPr>
          <w:rFonts w:hint="eastAsia"/>
          <w:lang w:eastAsia="zh-CN"/>
        </w:rPr>
        <w:t>视频监控设备巡检清洁使用以下巡检表：</w:t>
      </w:r>
    </w:p>
    <w:p w14:paraId="4D64F492">
      <w:pPr>
        <w:bidi w:val="0"/>
        <w:rPr>
          <w:rFonts w:hint="eastAsia"/>
          <w:lang w:eastAsia="zh-CN"/>
        </w:rPr>
      </w:pPr>
      <w:r>
        <w:drawing>
          <wp:inline distT="0" distB="0" distL="114300" distR="114300">
            <wp:extent cx="4863465" cy="6867525"/>
            <wp:effectExtent l="0" t="0" r="13335" b="5715"/>
            <wp:docPr id="16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2"/>
                    <pic:cNvPicPr>
                      <a:picLocks noChangeAspect="1"/>
                    </pic:cNvPicPr>
                  </pic:nvPicPr>
                  <pic:blipFill>
                    <a:blip r:embed="rId8"/>
                    <a:stretch>
                      <a:fillRect/>
                    </a:stretch>
                  </pic:blipFill>
                  <pic:spPr>
                    <a:xfrm>
                      <a:off x="0" y="0"/>
                      <a:ext cx="4863465" cy="6867525"/>
                    </a:xfrm>
                    <a:prstGeom prst="rect">
                      <a:avLst/>
                    </a:prstGeom>
                    <a:noFill/>
                    <a:ln>
                      <a:noFill/>
                    </a:ln>
                  </pic:spPr>
                </pic:pic>
              </a:graphicData>
            </a:graphic>
          </wp:inline>
        </w:drawing>
      </w:r>
    </w:p>
    <w:p w14:paraId="36115FC8">
      <w:pPr>
        <w:pStyle w:val="3"/>
        <w:rPr>
          <w:rFonts w:hint="eastAsia"/>
          <w:lang w:eastAsia="zh-CN"/>
        </w:rPr>
      </w:pPr>
    </w:p>
    <w:p w14:paraId="409A79AE">
      <w:pPr>
        <w:pStyle w:val="7"/>
        <w:tabs>
          <w:tab w:val="left" w:pos="720"/>
        </w:tabs>
        <w:ind w:left="720" w:hanging="720"/>
        <w:rPr>
          <w:rFonts w:hint="eastAsia"/>
          <w:color w:val="auto"/>
          <w:highlight w:val="none"/>
        </w:rPr>
      </w:pPr>
      <w:r>
        <w:rPr>
          <w:rFonts w:hint="eastAsia"/>
          <w:color w:val="auto"/>
          <w:highlight w:val="none"/>
          <w:lang w:val="en-US" w:eastAsia="zh-CN"/>
        </w:rPr>
        <w:t>营业厅配套设备故障处理</w:t>
      </w:r>
      <w:r>
        <w:rPr>
          <w:rFonts w:hint="eastAsia"/>
          <w:color w:val="auto"/>
          <w:highlight w:val="none"/>
        </w:rPr>
        <w:t>服务</w:t>
      </w:r>
    </w:p>
    <w:p w14:paraId="10D2E90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none"/>
        </w:rPr>
      </w:pPr>
      <w:r>
        <w:rPr>
          <w:rFonts w:hint="eastAsia"/>
          <w:color w:val="auto"/>
          <w:highlight w:val="none"/>
          <w:lang w:eastAsia="zh-CN"/>
        </w:rPr>
        <w:t>中标人</w:t>
      </w:r>
      <w:r>
        <w:rPr>
          <w:rFonts w:hint="eastAsia"/>
          <w:color w:val="auto"/>
          <w:highlight w:val="none"/>
        </w:rPr>
        <w:t>每次处理设备故障后，需与属地设备管理人员确认实际维修台数并签署《营业厅设备运维故障处理单》</w:t>
      </w:r>
      <w:r>
        <w:rPr>
          <w:rFonts w:hint="eastAsia"/>
          <w:color w:val="auto"/>
          <w:highlight w:val="none"/>
          <w:lang w:eastAsia="zh-CN"/>
        </w:rPr>
        <w:t>（详见下表）</w:t>
      </w:r>
      <w:r>
        <w:rPr>
          <w:rFonts w:hint="eastAsia"/>
          <w:color w:val="auto"/>
          <w:highlight w:val="none"/>
        </w:rPr>
        <w:t>，</w:t>
      </w:r>
      <w:r>
        <w:rPr>
          <w:rFonts w:hint="eastAsia"/>
          <w:color w:val="auto"/>
          <w:highlight w:val="none"/>
          <w:lang w:eastAsia="zh-CN"/>
        </w:rPr>
        <w:t>招标人</w:t>
      </w:r>
      <w:r>
        <w:rPr>
          <w:rFonts w:hint="eastAsia"/>
          <w:color w:val="auto"/>
          <w:highlight w:val="none"/>
        </w:rPr>
        <w:t>以此作为实际结算依据。</w:t>
      </w:r>
    </w:p>
    <w:p w14:paraId="08F79633">
      <w:pPr>
        <w:widowControl w:val="0"/>
        <w:numPr>
          <w:ilvl w:val="0"/>
          <w:numId w:val="0"/>
        </w:numPr>
        <w:tabs>
          <w:tab w:val="left" w:pos="840"/>
        </w:tabs>
        <w:adjustRightInd/>
        <w:snapToGrid w:val="0"/>
        <w:spacing w:line="360" w:lineRule="auto"/>
        <w:jc w:val="both"/>
        <w:textAlignment w:val="auto"/>
        <w:rPr>
          <w:rFonts w:hint="eastAsia" w:ascii="宋体" w:hAnsi="宋体" w:eastAsia="宋体" w:cs="宋体"/>
          <w:color w:val="auto"/>
          <w:highlight w:val="none"/>
        </w:rPr>
      </w:pPr>
    </w:p>
    <w:p w14:paraId="35B882F5">
      <w:pPr>
        <w:adjustRightInd/>
        <w:snapToGrid w:val="0"/>
        <w:spacing w:line="240" w:lineRule="auto"/>
        <w:jc w:val="center"/>
        <w:textAlignment w:val="auto"/>
        <w:rPr>
          <w:rFonts w:hint="eastAsia"/>
          <w:lang w:val="en-US" w:eastAsia="zh-CN"/>
        </w:rPr>
      </w:pPr>
      <w:r>
        <w:rPr>
          <w:rFonts w:hint="eastAsia" w:ascii="宋体" w:hAnsi="宋体" w:eastAsia="宋体" w:cs="宋体"/>
          <w:b/>
          <w:bCs/>
          <w:color w:val="auto"/>
          <w:highlight w:val="none"/>
          <w:lang w:val="en-US" w:eastAsia="zh-CN"/>
        </w:rPr>
        <w:t>营业厅配套设备</w:t>
      </w:r>
      <w:r>
        <w:rPr>
          <w:rFonts w:hint="eastAsia" w:ascii="宋体" w:hAnsi="宋体" w:eastAsia="宋体" w:cs="宋体"/>
          <w:b/>
          <w:bCs/>
          <w:color w:val="auto"/>
          <w:highlight w:val="none"/>
        </w:rPr>
        <w:t>运维故障处理单</w:t>
      </w:r>
    </w:p>
    <w:tbl>
      <w:tblPr>
        <w:tblStyle w:val="22"/>
        <w:tblpPr w:leftFromText="180" w:rightFromText="180" w:vertAnchor="text" w:horzAnchor="page" w:tblpX="561" w:tblpY="176"/>
        <w:tblOverlap w:val="never"/>
        <w:tblW w:w="11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620"/>
        <w:gridCol w:w="3774"/>
        <w:gridCol w:w="2079"/>
        <w:gridCol w:w="3476"/>
      </w:tblGrid>
      <w:tr w14:paraId="1EF3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68" w:type="dxa"/>
            <w:gridSpan w:val="3"/>
            <w:noWrap w:val="0"/>
            <w:vAlign w:val="center"/>
          </w:tcPr>
          <w:p w14:paraId="09BE0EBA">
            <w:pPr>
              <w:rPr>
                <w:color w:val="auto"/>
                <w:sz w:val="21"/>
                <w:szCs w:val="21"/>
                <w:highlight w:val="none"/>
              </w:rPr>
            </w:pPr>
            <w:r>
              <w:rPr>
                <w:rFonts w:hint="eastAsia"/>
                <w:color w:val="auto"/>
                <w:sz w:val="21"/>
                <w:szCs w:val="21"/>
                <w:highlight w:val="none"/>
              </w:rPr>
              <w:t>供电局：</w:t>
            </w:r>
          </w:p>
        </w:tc>
        <w:tc>
          <w:tcPr>
            <w:tcW w:w="5555" w:type="dxa"/>
            <w:gridSpan w:val="2"/>
            <w:noWrap w:val="0"/>
            <w:vAlign w:val="center"/>
          </w:tcPr>
          <w:p w14:paraId="26457429">
            <w:pPr>
              <w:rPr>
                <w:color w:val="auto"/>
                <w:sz w:val="21"/>
                <w:szCs w:val="21"/>
                <w:highlight w:val="none"/>
              </w:rPr>
            </w:pPr>
            <w:r>
              <w:rPr>
                <w:rFonts w:hint="eastAsia"/>
                <w:color w:val="auto"/>
                <w:sz w:val="21"/>
                <w:szCs w:val="21"/>
                <w:highlight w:val="none"/>
              </w:rPr>
              <w:t>营业厅：</w:t>
            </w:r>
          </w:p>
        </w:tc>
      </w:tr>
      <w:tr w14:paraId="54E5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68" w:type="dxa"/>
            <w:gridSpan w:val="3"/>
            <w:noWrap w:val="0"/>
            <w:vAlign w:val="center"/>
          </w:tcPr>
          <w:p w14:paraId="50A292EA">
            <w:pPr>
              <w:rPr>
                <w:color w:val="auto"/>
                <w:sz w:val="21"/>
                <w:szCs w:val="21"/>
                <w:highlight w:val="none"/>
              </w:rPr>
            </w:pPr>
            <w:r>
              <w:rPr>
                <w:rFonts w:hint="eastAsia"/>
                <w:color w:val="auto"/>
                <w:sz w:val="21"/>
                <w:szCs w:val="21"/>
                <w:highlight w:val="none"/>
                <w:lang w:eastAsia="zh-CN"/>
              </w:rPr>
              <w:t>报障</w:t>
            </w:r>
            <w:r>
              <w:rPr>
                <w:rFonts w:hint="eastAsia"/>
                <w:color w:val="auto"/>
                <w:sz w:val="21"/>
                <w:szCs w:val="21"/>
                <w:highlight w:val="none"/>
              </w:rPr>
              <w:t>时间:______年___月___日___时___分</w:t>
            </w:r>
          </w:p>
        </w:tc>
        <w:tc>
          <w:tcPr>
            <w:tcW w:w="5555" w:type="dxa"/>
            <w:gridSpan w:val="2"/>
            <w:noWrap w:val="0"/>
            <w:vAlign w:val="center"/>
          </w:tcPr>
          <w:p w14:paraId="7C8EFEA4">
            <w:pPr>
              <w:rPr>
                <w:color w:val="auto"/>
                <w:sz w:val="21"/>
                <w:szCs w:val="21"/>
                <w:highlight w:val="none"/>
              </w:rPr>
            </w:pPr>
            <w:r>
              <w:rPr>
                <w:rFonts w:hint="eastAsia"/>
                <w:color w:val="auto"/>
                <w:sz w:val="21"/>
                <w:szCs w:val="21"/>
                <w:highlight w:val="none"/>
              </w:rPr>
              <w:t>完成时间:______年___月___日___时___分</w:t>
            </w:r>
          </w:p>
        </w:tc>
      </w:tr>
      <w:tr w14:paraId="760D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11123" w:type="dxa"/>
            <w:gridSpan w:val="5"/>
            <w:noWrap w:val="0"/>
            <w:vAlign w:val="center"/>
          </w:tcPr>
          <w:p w14:paraId="2FC77C46">
            <w:pPr>
              <w:spacing w:line="360" w:lineRule="auto"/>
              <w:rPr>
                <w:color w:val="auto"/>
                <w:sz w:val="21"/>
                <w:szCs w:val="21"/>
                <w:highlight w:val="none"/>
              </w:rPr>
            </w:pPr>
            <w:r>
              <w:rPr>
                <w:rFonts w:hint="eastAsia"/>
                <w:color w:val="auto"/>
                <w:highlight w:val="none"/>
                <w:lang w:val="en-US" w:eastAsia="zh-CN"/>
              </w:rPr>
              <w:t>营业厅配套</w:t>
            </w:r>
            <w:r>
              <w:rPr>
                <w:rFonts w:hint="eastAsia"/>
                <w:color w:val="auto"/>
                <w:sz w:val="21"/>
                <w:szCs w:val="21"/>
                <w:highlight w:val="none"/>
              </w:rPr>
              <w:t>设备：</w:t>
            </w:r>
          </w:p>
          <w:p w14:paraId="1755493F">
            <w:pPr>
              <w:spacing w:line="360" w:lineRule="auto"/>
              <w:rPr>
                <w:rFonts w:hint="eastAsia" w:ascii="宋体" w:hAnsi="宋体"/>
                <w:color w:val="auto"/>
                <w:sz w:val="21"/>
                <w:szCs w:val="21"/>
                <w:highlight w:val="none"/>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全业务自助</w:t>
            </w:r>
            <w:r>
              <w:rPr>
                <w:rFonts w:hint="eastAsia"/>
                <w:color w:val="auto"/>
                <w:sz w:val="21"/>
                <w:szCs w:val="21"/>
                <w:highlight w:val="none"/>
              </w:rPr>
              <w:t>终端</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sym w:font="Wingdings 2" w:char="00A3"/>
            </w:r>
            <w:r>
              <w:rPr>
                <w:rFonts w:hint="eastAsia" w:ascii="Times New Roman" w:hAnsi="Times New Roman" w:eastAsia="宋体" w:cs="Times New Roman"/>
                <w:color w:val="auto"/>
                <w:kern w:val="2"/>
                <w:sz w:val="21"/>
                <w:szCs w:val="21"/>
                <w:highlight w:val="none"/>
                <w:lang w:val="en-US" w:eastAsia="zh-CN" w:bidi="ar-SA"/>
              </w:rPr>
              <w:t>柜式自助服务终端</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Times New Roman" w:hAnsi="Times New Roman" w:eastAsia="宋体" w:cs="Times New Roman"/>
                <w:color w:val="auto"/>
                <w:kern w:val="2"/>
                <w:sz w:val="21"/>
                <w:szCs w:val="21"/>
                <w:highlight w:val="none"/>
                <w:lang w:val="en-US" w:eastAsia="zh-CN" w:bidi="ar-SA"/>
              </w:rPr>
              <w:t>排队叫号机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17FD3B9">
            <w:pPr>
              <w:spacing w:line="360" w:lineRule="auto"/>
              <w:rPr>
                <w:rFonts w:hint="eastAsia" w:ascii="宋体" w:hAnsi="宋体"/>
                <w:color w:val="auto"/>
                <w:sz w:val="21"/>
                <w:szCs w:val="21"/>
                <w:highlight w:val="none"/>
              </w:rPr>
            </w:pPr>
            <w:r>
              <w:rPr>
                <w:rFonts w:hint="eastAsia" w:ascii="宋体" w:hAnsi="宋体"/>
                <w:color w:val="auto"/>
                <w:sz w:val="21"/>
                <w:szCs w:val="21"/>
                <w:highlight w:val="none"/>
              </w:rPr>
              <w:t>□</w:t>
            </w:r>
            <w:r>
              <w:rPr>
                <w:rFonts w:hint="eastAsia" w:ascii="Times New Roman" w:hAnsi="Times New Roman" w:eastAsia="宋体" w:cs="Times New Roman"/>
                <w:color w:val="auto"/>
                <w:kern w:val="2"/>
                <w:sz w:val="21"/>
                <w:szCs w:val="21"/>
                <w:highlight w:val="none"/>
                <w:lang w:val="en-US" w:eastAsia="zh-CN" w:bidi="ar-SA"/>
              </w:rPr>
              <w:t>广告机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sym w:font="Wingdings 2" w:char="00A3"/>
            </w:r>
            <w:r>
              <w:rPr>
                <w:rFonts w:hint="eastAsia" w:ascii="Times New Roman" w:hAnsi="Times New Roman" w:eastAsia="宋体" w:cs="Times New Roman"/>
                <w:color w:val="auto"/>
                <w:kern w:val="2"/>
                <w:sz w:val="21"/>
                <w:szCs w:val="21"/>
                <w:highlight w:val="none"/>
                <w:lang w:val="en-US" w:eastAsia="zh-CN" w:bidi="ar-SA"/>
              </w:rPr>
              <w:t>电子屏</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Times New Roman" w:hAnsi="Times New Roman" w:eastAsia="宋体" w:cs="Times New Roman"/>
                <w:color w:val="auto"/>
                <w:kern w:val="2"/>
                <w:sz w:val="21"/>
                <w:szCs w:val="21"/>
                <w:highlight w:val="none"/>
                <w:lang w:val="en-US" w:eastAsia="zh-CN" w:bidi="ar-SA"/>
              </w:rPr>
              <w:t>打印机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14:paraId="09C22A71">
            <w:pPr>
              <w:spacing w:line="360" w:lineRule="auto"/>
              <w:rPr>
                <w:rFonts w:hint="default" w:eastAsia="宋体"/>
                <w:color w:val="auto"/>
                <w:sz w:val="21"/>
                <w:szCs w:val="21"/>
                <w:highlight w:val="none"/>
                <w:lang w:val="en-US" w:eastAsia="zh-CN"/>
              </w:rPr>
            </w:pPr>
            <w:r>
              <w:rPr>
                <w:rFonts w:hint="eastAsia" w:ascii="宋体" w:hAnsi="宋体"/>
                <w:color w:val="auto"/>
                <w:sz w:val="21"/>
                <w:szCs w:val="21"/>
                <w:highlight w:val="none"/>
              </w:rPr>
              <w:sym w:font="Wingdings 2" w:char="00A3"/>
            </w:r>
            <w:r>
              <w:rPr>
                <w:rFonts w:hint="eastAsia" w:ascii="Times New Roman" w:hAnsi="Times New Roman" w:eastAsia="宋体" w:cs="Times New Roman"/>
                <w:color w:val="auto"/>
                <w:kern w:val="2"/>
                <w:sz w:val="21"/>
                <w:szCs w:val="21"/>
                <w:highlight w:val="none"/>
                <w:lang w:val="en-US" w:eastAsia="zh-CN" w:bidi="ar-SA"/>
              </w:rPr>
              <w:t>空调机</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 xml:space="preserve">                                                          </w:t>
            </w:r>
          </w:p>
          <w:p w14:paraId="69F8018F">
            <w:pPr>
              <w:spacing w:line="360" w:lineRule="auto"/>
              <w:rPr>
                <w:color w:val="auto"/>
                <w:sz w:val="21"/>
                <w:szCs w:val="21"/>
                <w:highlight w:val="none"/>
              </w:rPr>
            </w:pPr>
            <w:r>
              <w:rPr>
                <w:rFonts w:hint="eastAsia" w:ascii="宋体" w:hAnsi="宋体"/>
                <w:color w:val="auto"/>
                <w:sz w:val="21"/>
                <w:szCs w:val="21"/>
                <w:highlight w:val="none"/>
              </w:rPr>
              <w:sym w:font="Wingdings 2" w:char="00A3"/>
            </w:r>
            <w:r>
              <w:rPr>
                <w:rFonts w:hint="eastAsia" w:ascii="Times New Roman" w:hAnsi="Times New Roman" w:eastAsia="宋体" w:cs="Times New Roman"/>
                <w:color w:val="auto"/>
                <w:kern w:val="2"/>
                <w:sz w:val="21"/>
                <w:szCs w:val="21"/>
                <w:highlight w:val="none"/>
                <w:lang w:val="en-US" w:eastAsia="zh-CN" w:bidi="ar-SA"/>
              </w:rPr>
              <w:t>其他设备</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tc>
      </w:tr>
      <w:tr w14:paraId="0B8B3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4" w:type="dxa"/>
            <w:noWrap w:val="0"/>
            <w:vAlign w:val="center"/>
          </w:tcPr>
          <w:p w14:paraId="2E712B12">
            <w:pPr>
              <w:jc w:val="center"/>
              <w:rPr>
                <w:color w:val="auto"/>
                <w:sz w:val="21"/>
                <w:szCs w:val="21"/>
                <w:highlight w:val="none"/>
              </w:rPr>
            </w:pPr>
            <w:r>
              <w:rPr>
                <w:rFonts w:hint="eastAsia"/>
                <w:color w:val="auto"/>
                <w:sz w:val="21"/>
                <w:szCs w:val="21"/>
                <w:highlight w:val="none"/>
              </w:rPr>
              <w:t>设备编号</w:t>
            </w:r>
          </w:p>
        </w:tc>
        <w:tc>
          <w:tcPr>
            <w:tcW w:w="9949" w:type="dxa"/>
            <w:gridSpan w:val="4"/>
            <w:noWrap w:val="0"/>
            <w:vAlign w:val="center"/>
          </w:tcPr>
          <w:p w14:paraId="73621AF5">
            <w:pPr>
              <w:jc w:val="left"/>
              <w:rPr>
                <w:color w:val="auto"/>
                <w:sz w:val="21"/>
                <w:szCs w:val="21"/>
                <w:highlight w:val="none"/>
              </w:rPr>
            </w:pPr>
          </w:p>
        </w:tc>
      </w:tr>
      <w:tr w14:paraId="74F7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4" w:type="dxa"/>
            <w:vMerge w:val="restart"/>
            <w:noWrap w:val="0"/>
            <w:vAlign w:val="center"/>
          </w:tcPr>
          <w:p w14:paraId="3B1DDB09">
            <w:pPr>
              <w:jc w:val="center"/>
              <w:rPr>
                <w:rFonts w:hint="eastAsia" w:eastAsia="仿宋_GB2312"/>
                <w:color w:val="auto"/>
                <w:sz w:val="21"/>
                <w:szCs w:val="21"/>
                <w:highlight w:val="none"/>
                <w:lang w:eastAsia="zh-CN"/>
              </w:rPr>
            </w:pPr>
            <w:r>
              <w:rPr>
                <w:rFonts w:hint="eastAsia"/>
                <w:color w:val="auto"/>
                <w:sz w:val="21"/>
                <w:szCs w:val="21"/>
                <w:highlight w:val="none"/>
                <w:lang w:eastAsia="zh-CN"/>
              </w:rPr>
              <w:t>故障情况说明</w:t>
            </w:r>
          </w:p>
        </w:tc>
        <w:tc>
          <w:tcPr>
            <w:tcW w:w="9949" w:type="dxa"/>
            <w:gridSpan w:val="4"/>
            <w:noWrap w:val="0"/>
            <w:vAlign w:val="center"/>
          </w:tcPr>
          <w:p w14:paraId="52ABD965">
            <w:pPr>
              <w:rPr>
                <w:color w:val="auto"/>
                <w:sz w:val="21"/>
                <w:szCs w:val="21"/>
                <w:highlight w:val="none"/>
              </w:rPr>
            </w:pPr>
            <w:r>
              <w:rPr>
                <w:rFonts w:hint="eastAsia" w:ascii="宋体" w:hAnsi="宋体"/>
                <w:color w:val="auto"/>
                <w:sz w:val="21"/>
                <w:szCs w:val="21"/>
                <w:highlight w:val="none"/>
              </w:rPr>
              <w:t>□</w:t>
            </w:r>
            <w:r>
              <w:rPr>
                <w:rFonts w:hint="eastAsia"/>
                <w:color w:val="auto"/>
                <w:sz w:val="21"/>
                <w:szCs w:val="21"/>
                <w:highlight w:val="none"/>
              </w:rPr>
              <w:t xml:space="preserve">硬件故障  </w:t>
            </w:r>
            <w:r>
              <w:rPr>
                <w:rFonts w:hint="eastAsia" w:ascii="宋体" w:hAnsi="宋体"/>
                <w:color w:val="auto"/>
                <w:sz w:val="21"/>
                <w:szCs w:val="21"/>
                <w:highlight w:val="none"/>
              </w:rPr>
              <w:t>□</w:t>
            </w:r>
            <w:r>
              <w:rPr>
                <w:rFonts w:hint="eastAsia"/>
                <w:color w:val="auto"/>
                <w:sz w:val="21"/>
                <w:szCs w:val="21"/>
                <w:highlight w:val="none"/>
              </w:rPr>
              <w:t xml:space="preserve">系统软件故障  </w:t>
            </w:r>
            <w:r>
              <w:rPr>
                <w:rFonts w:hint="eastAsia" w:ascii="宋体" w:hAnsi="宋体"/>
                <w:color w:val="auto"/>
                <w:sz w:val="21"/>
                <w:szCs w:val="21"/>
                <w:highlight w:val="none"/>
              </w:rPr>
              <w:t>□</w:t>
            </w:r>
            <w:r>
              <w:rPr>
                <w:rFonts w:hint="eastAsia"/>
                <w:color w:val="auto"/>
                <w:sz w:val="21"/>
                <w:szCs w:val="21"/>
                <w:highlight w:val="none"/>
              </w:rPr>
              <w:t xml:space="preserve">应用软件故障  </w:t>
            </w:r>
            <w:r>
              <w:rPr>
                <w:rFonts w:hint="eastAsia" w:ascii="宋体" w:hAnsi="宋体"/>
                <w:color w:val="auto"/>
                <w:sz w:val="21"/>
                <w:szCs w:val="21"/>
                <w:highlight w:val="none"/>
              </w:rPr>
              <w:t>□</w:t>
            </w:r>
            <w:r>
              <w:rPr>
                <w:rFonts w:hint="eastAsia"/>
                <w:color w:val="auto"/>
                <w:sz w:val="21"/>
                <w:szCs w:val="21"/>
                <w:highlight w:val="none"/>
              </w:rPr>
              <w:t xml:space="preserve">后台系统故障  </w:t>
            </w:r>
            <w:r>
              <w:rPr>
                <w:rFonts w:hint="eastAsia" w:ascii="宋体" w:hAnsi="宋体"/>
                <w:color w:val="auto"/>
                <w:sz w:val="21"/>
                <w:szCs w:val="21"/>
                <w:highlight w:val="none"/>
              </w:rPr>
              <w:t>□网络故障  □</w:t>
            </w:r>
            <w:r>
              <w:rPr>
                <w:rFonts w:hint="eastAsia"/>
                <w:color w:val="auto"/>
                <w:sz w:val="21"/>
                <w:szCs w:val="21"/>
                <w:highlight w:val="none"/>
              </w:rPr>
              <w:t xml:space="preserve">系统升级  </w:t>
            </w:r>
            <w:r>
              <w:rPr>
                <w:rFonts w:hint="eastAsia" w:ascii="宋体" w:hAnsi="宋体"/>
                <w:color w:val="auto"/>
                <w:sz w:val="21"/>
                <w:szCs w:val="21"/>
                <w:highlight w:val="none"/>
              </w:rPr>
              <w:t>□</w:t>
            </w:r>
            <w:r>
              <w:rPr>
                <w:rFonts w:hint="eastAsia"/>
                <w:color w:val="auto"/>
                <w:sz w:val="21"/>
                <w:szCs w:val="21"/>
                <w:highlight w:val="none"/>
              </w:rPr>
              <w:t>其它</w:t>
            </w:r>
          </w:p>
        </w:tc>
      </w:tr>
      <w:tr w14:paraId="4C8D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174" w:type="dxa"/>
            <w:vMerge w:val="continue"/>
            <w:noWrap w:val="0"/>
            <w:vAlign w:val="center"/>
          </w:tcPr>
          <w:p w14:paraId="2942ACB2">
            <w:pPr>
              <w:jc w:val="center"/>
              <w:rPr>
                <w:color w:val="auto"/>
                <w:sz w:val="21"/>
                <w:szCs w:val="21"/>
                <w:highlight w:val="none"/>
              </w:rPr>
            </w:pPr>
          </w:p>
        </w:tc>
        <w:tc>
          <w:tcPr>
            <w:tcW w:w="9949" w:type="dxa"/>
            <w:gridSpan w:val="4"/>
            <w:noWrap w:val="0"/>
            <w:vAlign w:val="top"/>
          </w:tcPr>
          <w:p w14:paraId="1C553E1C">
            <w:pPr>
              <w:rPr>
                <w:color w:val="auto"/>
                <w:sz w:val="21"/>
                <w:szCs w:val="21"/>
                <w:highlight w:val="none"/>
              </w:rPr>
            </w:pPr>
            <w:r>
              <w:rPr>
                <w:rFonts w:hint="eastAsia"/>
                <w:color w:val="auto"/>
                <w:sz w:val="21"/>
                <w:szCs w:val="21"/>
                <w:highlight w:val="none"/>
                <w:lang w:eastAsia="zh-CN"/>
              </w:rPr>
              <w:t>情况</w:t>
            </w:r>
            <w:r>
              <w:rPr>
                <w:rFonts w:hint="eastAsia"/>
                <w:color w:val="auto"/>
                <w:sz w:val="21"/>
                <w:szCs w:val="21"/>
                <w:highlight w:val="none"/>
              </w:rPr>
              <w:t>描述：</w:t>
            </w:r>
          </w:p>
          <w:p w14:paraId="30E8F0D8">
            <w:pPr>
              <w:rPr>
                <w:color w:val="auto"/>
                <w:sz w:val="21"/>
                <w:szCs w:val="21"/>
                <w:highlight w:val="none"/>
              </w:rPr>
            </w:pPr>
          </w:p>
          <w:p w14:paraId="2B90A5D8">
            <w:pPr>
              <w:pStyle w:val="2"/>
            </w:pPr>
          </w:p>
          <w:p w14:paraId="08029133">
            <w:pPr>
              <w:pStyle w:val="2"/>
            </w:pPr>
          </w:p>
        </w:tc>
      </w:tr>
      <w:tr w14:paraId="6B7C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9" w:hRule="atLeast"/>
        </w:trPr>
        <w:tc>
          <w:tcPr>
            <w:tcW w:w="1174" w:type="dxa"/>
            <w:noWrap w:val="0"/>
            <w:vAlign w:val="center"/>
          </w:tcPr>
          <w:p w14:paraId="503B1E72">
            <w:pPr>
              <w:jc w:val="center"/>
              <w:rPr>
                <w:rFonts w:hint="eastAsia" w:eastAsia="宋体"/>
                <w:color w:val="auto"/>
                <w:sz w:val="21"/>
                <w:szCs w:val="21"/>
                <w:highlight w:val="none"/>
                <w:lang w:eastAsia="zh-CN"/>
              </w:rPr>
            </w:pPr>
            <w:r>
              <w:rPr>
                <w:rFonts w:hint="eastAsia"/>
                <w:color w:val="auto"/>
                <w:sz w:val="21"/>
                <w:szCs w:val="21"/>
                <w:highlight w:val="none"/>
              </w:rPr>
              <w:t>处理</w:t>
            </w:r>
            <w:r>
              <w:rPr>
                <w:rFonts w:hint="eastAsia"/>
                <w:color w:val="auto"/>
                <w:sz w:val="21"/>
                <w:szCs w:val="21"/>
                <w:highlight w:val="none"/>
                <w:lang w:eastAsia="zh-CN"/>
              </w:rPr>
              <w:t>结果</w:t>
            </w:r>
          </w:p>
        </w:tc>
        <w:tc>
          <w:tcPr>
            <w:tcW w:w="9949" w:type="dxa"/>
            <w:gridSpan w:val="4"/>
            <w:noWrap w:val="0"/>
            <w:vAlign w:val="center"/>
          </w:tcPr>
          <w:p w14:paraId="5ED611EA">
            <w:pPr>
              <w:spacing w:line="360" w:lineRule="auto"/>
              <w:rPr>
                <w:rFonts w:hint="eastAsia" w:ascii="宋体" w:hAnsi="宋体"/>
                <w:color w:val="auto"/>
                <w:sz w:val="21"/>
                <w:szCs w:val="21"/>
                <w:highlight w:val="none"/>
              </w:rPr>
            </w:pPr>
            <w:r>
              <w:rPr>
                <w:rFonts w:hint="eastAsia" w:ascii="宋体" w:hAnsi="宋体"/>
                <w:color w:val="auto"/>
                <w:sz w:val="21"/>
                <w:szCs w:val="21"/>
                <w:highlight w:val="none"/>
              </w:rPr>
              <w:t>□</w:t>
            </w:r>
            <w:r>
              <w:rPr>
                <w:rFonts w:hint="eastAsia" w:ascii="宋体" w:hAnsi="宋体"/>
                <w:color w:val="auto"/>
                <w:sz w:val="21"/>
                <w:szCs w:val="21"/>
                <w:highlight w:val="none"/>
                <w:lang w:eastAsia="zh-CN"/>
              </w:rPr>
              <w:t>调试修复</w:t>
            </w:r>
            <w:r>
              <w:rPr>
                <w:rFonts w:hint="eastAsia" w:ascii="宋体" w:hAnsi="宋体"/>
                <w:color w:val="auto"/>
                <w:sz w:val="21"/>
                <w:szCs w:val="21"/>
                <w:highlight w:val="none"/>
              </w:rPr>
              <w:t xml:space="preserve">   □</w:t>
            </w:r>
            <w:r>
              <w:rPr>
                <w:rFonts w:hint="eastAsia" w:ascii="宋体" w:hAnsi="宋体"/>
                <w:color w:val="auto"/>
                <w:sz w:val="21"/>
                <w:szCs w:val="21"/>
                <w:highlight w:val="none"/>
                <w:lang w:eastAsia="zh-CN"/>
              </w:rPr>
              <w:t>现场完成维修</w:t>
            </w:r>
            <w:r>
              <w:rPr>
                <w:rFonts w:hint="eastAsia" w:ascii="宋体" w:hAnsi="宋体"/>
                <w:color w:val="auto"/>
                <w:sz w:val="21"/>
                <w:szCs w:val="21"/>
                <w:highlight w:val="none"/>
              </w:rPr>
              <w:t xml:space="preserve"> □远程协助完成</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□其它</w:t>
            </w:r>
          </w:p>
          <w:p w14:paraId="699D5B52">
            <w:pPr>
              <w:pStyle w:val="2"/>
              <w:spacing w:line="360" w:lineRule="auto"/>
              <w:rPr>
                <w:rFonts w:hint="eastAsia" w:ascii="宋体" w:hAnsi="宋体"/>
                <w:color w:val="auto"/>
                <w:sz w:val="21"/>
                <w:szCs w:val="21"/>
                <w:highlight w:val="none"/>
              </w:rPr>
            </w:pPr>
            <w:r>
              <w:rPr>
                <w:rFonts w:hint="eastAsia" w:ascii="宋体" w:hAnsi="宋体"/>
                <w:color w:val="auto"/>
                <w:sz w:val="21"/>
                <w:szCs w:val="21"/>
                <w:highlight w:val="none"/>
              </w:rPr>
              <w:t>□现场更换配件</w:t>
            </w:r>
            <w:r>
              <w:rPr>
                <w:rFonts w:hint="eastAsia" w:ascii="宋体" w:hAnsi="宋体"/>
                <w:color w:val="auto"/>
                <w:sz w:val="21"/>
                <w:szCs w:val="21"/>
                <w:highlight w:val="none"/>
                <w:lang w:eastAsia="zh-CN"/>
              </w:rPr>
              <w:t>（更换后的品牌型号、数量单位）</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w:t>
            </w:r>
            <w:r>
              <w:rPr>
                <w:rFonts w:hint="eastAsia" w:ascii="宋体" w:hAnsi="宋体"/>
                <w:color w:val="auto"/>
                <w:sz w:val="21"/>
                <w:szCs w:val="21"/>
                <w:highlight w:val="none"/>
                <w:lang w:eastAsia="zh-CN"/>
              </w:rPr>
              <w:t>工作量：</w:t>
            </w:r>
            <w:r>
              <w:rPr>
                <w:rFonts w:hint="eastAsia"/>
                <w:color w:val="auto"/>
                <w:sz w:val="21"/>
                <w:szCs w:val="21"/>
                <w:highlight w:val="none"/>
                <w:u w:val="single"/>
                <w:lang w:val="en-US" w:eastAsia="zh-CN"/>
              </w:rPr>
              <w:t xml:space="preserve">      </w:t>
            </w:r>
            <w:r>
              <w:rPr>
                <w:rFonts w:hint="eastAsia"/>
                <w:color w:val="auto"/>
                <w:sz w:val="21"/>
                <w:szCs w:val="21"/>
                <w:highlight w:val="none"/>
                <w:u w:val="none"/>
                <w:lang w:val="en-US" w:eastAsia="zh-CN"/>
              </w:rPr>
              <w:t>人天</w:t>
            </w:r>
          </w:p>
          <w:p w14:paraId="709728F2">
            <w:p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（1）</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 xml:space="preserve">                                                                         </w:t>
            </w:r>
          </w:p>
          <w:p w14:paraId="27437FE9">
            <w:pPr>
              <w:pStyle w:val="2"/>
              <w:spacing w:line="360" w:lineRule="auto"/>
              <w:rPr>
                <w:rFonts w:hint="eastAsia"/>
                <w:color w:val="auto"/>
                <w:sz w:val="21"/>
                <w:szCs w:val="21"/>
                <w:highlight w:val="none"/>
                <w:u w:val="single"/>
                <w:lang w:val="en-US" w:eastAsia="zh-CN"/>
              </w:rPr>
            </w:pPr>
            <w:r>
              <w:rPr>
                <w:rFonts w:hint="eastAsia"/>
                <w:color w:val="auto"/>
                <w:sz w:val="21"/>
                <w:szCs w:val="21"/>
                <w:highlight w:val="none"/>
                <w:lang w:val="en-US" w:eastAsia="zh-CN"/>
              </w:rPr>
              <w:t>（2）</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 xml:space="preserve">                                                                         </w:t>
            </w:r>
          </w:p>
          <w:p w14:paraId="6E687CFE">
            <w:pPr>
              <w:pStyle w:val="2"/>
              <w:spacing w:line="360" w:lineRule="auto"/>
              <w:rPr>
                <w:rFonts w:hint="eastAsia"/>
                <w:color w:val="auto"/>
                <w:sz w:val="21"/>
                <w:szCs w:val="21"/>
                <w:highlight w:val="none"/>
                <w:u w:val="single"/>
                <w:lang w:val="en-US" w:eastAsia="zh-CN"/>
              </w:rPr>
            </w:pPr>
            <w:r>
              <w:rPr>
                <w:rFonts w:hint="eastAsia"/>
                <w:color w:val="auto"/>
                <w:sz w:val="21"/>
                <w:szCs w:val="21"/>
                <w:highlight w:val="none"/>
                <w:u w:val="none"/>
                <w:lang w:val="en-US" w:eastAsia="zh-CN"/>
              </w:rPr>
              <w:t>（3）</w:t>
            </w:r>
            <w:r>
              <w:rPr>
                <w:rFonts w:hint="eastAsia"/>
                <w:color w:val="auto"/>
                <w:sz w:val="21"/>
                <w:szCs w:val="21"/>
                <w:highlight w:val="none"/>
                <w:u w:val="single"/>
                <w:lang w:val="en-US" w:eastAsia="zh-CN"/>
              </w:rPr>
              <w:t xml:space="preserve">                                                                               </w:t>
            </w:r>
          </w:p>
          <w:p w14:paraId="37698C70">
            <w:pPr>
              <w:pStyle w:val="2"/>
              <w:spacing w:line="360" w:lineRule="auto"/>
              <w:rPr>
                <w:rFonts w:hint="eastAsia"/>
                <w:color w:val="auto"/>
                <w:sz w:val="21"/>
                <w:szCs w:val="21"/>
                <w:highlight w:val="none"/>
                <w:u w:val="single"/>
                <w:lang w:val="en-US" w:eastAsia="zh-CN"/>
              </w:rPr>
            </w:pPr>
            <w:r>
              <w:rPr>
                <w:rFonts w:hint="eastAsia"/>
                <w:color w:val="auto"/>
                <w:sz w:val="21"/>
                <w:szCs w:val="21"/>
                <w:highlight w:val="none"/>
                <w:u w:val="none"/>
                <w:lang w:val="en-US" w:eastAsia="zh-CN"/>
              </w:rPr>
              <w:t>（4）</w:t>
            </w:r>
            <w:r>
              <w:rPr>
                <w:rFonts w:hint="eastAsia"/>
                <w:color w:val="auto"/>
                <w:sz w:val="21"/>
                <w:szCs w:val="21"/>
                <w:highlight w:val="none"/>
                <w:u w:val="single"/>
                <w:lang w:val="en-US" w:eastAsia="zh-CN"/>
              </w:rPr>
              <w:t xml:space="preserve">                                                                               </w:t>
            </w:r>
          </w:p>
          <w:p w14:paraId="5456B80D">
            <w:pPr>
              <w:pStyle w:val="2"/>
              <w:spacing w:line="360" w:lineRule="auto"/>
              <w:rPr>
                <w:rFonts w:hint="eastAsia"/>
                <w:color w:val="auto"/>
                <w:sz w:val="21"/>
                <w:szCs w:val="21"/>
                <w:highlight w:val="none"/>
                <w:u w:val="single"/>
                <w:lang w:val="en-US" w:eastAsia="zh-CN"/>
              </w:rPr>
            </w:pPr>
            <w:r>
              <w:rPr>
                <w:rFonts w:hint="eastAsia"/>
                <w:color w:val="auto"/>
                <w:sz w:val="21"/>
                <w:szCs w:val="21"/>
                <w:highlight w:val="none"/>
                <w:u w:val="none"/>
                <w:lang w:val="en-US" w:eastAsia="zh-CN"/>
              </w:rPr>
              <w:t>（5）</w:t>
            </w:r>
            <w:r>
              <w:rPr>
                <w:rFonts w:hint="eastAsia"/>
                <w:color w:val="auto"/>
                <w:sz w:val="21"/>
                <w:szCs w:val="21"/>
                <w:highlight w:val="none"/>
                <w:u w:val="single"/>
                <w:lang w:val="en-US" w:eastAsia="zh-CN"/>
              </w:rPr>
              <w:t xml:space="preserve">                                                                               </w:t>
            </w:r>
          </w:p>
          <w:p w14:paraId="02158D89">
            <w:pPr>
              <w:pStyle w:val="2"/>
              <w:spacing w:line="360" w:lineRule="auto"/>
              <w:rPr>
                <w:rFonts w:hint="eastAsia"/>
                <w:color w:val="auto"/>
                <w:sz w:val="21"/>
                <w:szCs w:val="21"/>
                <w:highlight w:val="none"/>
                <w:u w:val="single"/>
                <w:lang w:val="en-US" w:eastAsia="zh-CN"/>
              </w:rPr>
            </w:pPr>
            <w:r>
              <w:rPr>
                <w:rFonts w:hint="eastAsia"/>
                <w:color w:val="auto"/>
                <w:sz w:val="21"/>
                <w:szCs w:val="21"/>
                <w:highlight w:val="none"/>
                <w:u w:val="none"/>
                <w:lang w:val="en-US" w:eastAsia="zh-CN"/>
              </w:rPr>
              <w:t>（6）</w:t>
            </w:r>
            <w:r>
              <w:rPr>
                <w:rFonts w:hint="eastAsia"/>
                <w:color w:val="auto"/>
                <w:sz w:val="21"/>
                <w:szCs w:val="21"/>
                <w:highlight w:val="none"/>
                <w:u w:val="single"/>
                <w:lang w:val="en-US" w:eastAsia="zh-CN"/>
              </w:rPr>
              <w:t xml:space="preserve">                                                                               </w:t>
            </w:r>
          </w:p>
          <w:p w14:paraId="39095C57">
            <w:pPr>
              <w:pStyle w:val="2"/>
              <w:spacing w:line="360" w:lineRule="auto"/>
              <w:rPr>
                <w:rFonts w:hint="eastAsia"/>
                <w:color w:val="auto"/>
                <w:sz w:val="21"/>
                <w:szCs w:val="21"/>
                <w:highlight w:val="none"/>
                <w:u w:val="single"/>
                <w:lang w:val="en-US" w:eastAsia="zh-CN"/>
              </w:rPr>
            </w:pPr>
            <w:r>
              <w:rPr>
                <w:rFonts w:hint="eastAsia"/>
                <w:color w:val="auto"/>
                <w:sz w:val="21"/>
                <w:szCs w:val="21"/>
                <w:highlight w:val="none"/>
                <w:u w:val="none"/>
                <w:lang w:val="en-US" w:eastAsia="zh-CN"/>
              </w:rPr>
              <w:t>（7）</w:t>
            </w:r>
            <w:r>
              <w:rPr>
                <w:rFonts w:hint="eastAsia"/>
                <w:color w:val="auto"/>
                <w:sz w:val="21"/>
                <w:szCs w:val="21"/>
                <w:highlight w:val="none"/>
                <w:u w:val="single"/>
                <w:lang w:val="en-US" w:eastAsia="zh-CN"/>
              </w:rPr>
              <w:t xml:space="preserve">                                                                               </w:t>
            </w:r>
          </w:p>
          <w:p w14:paraId="34B03A7D">
            <w:pPr>
              <w:pStyle w:val="2"/>
              <w:spacing w:line="360" w:lineRule="auto"/>
              <w:rPr>
                <w:rFonts w:ascii="宋体" w:hAnsi="宋体"/>
                <w:color w:val="auto"/>
                <w:sz w:val="21"/>
                <w:szCs w:val="21"/>
                <w:highlight w:val="none"/>
              </w:rPr>
            </w:pPr>
            <w:r>
              <w:rPr>
                <w:rFonts w:hint="eastAsia"/>
                <w:color w:val="auto"/>
                <w:sz w:val="21"/>
                <w:szCs w:val="21"/>
                <w:highlight w:val="none"/>
                <w:u w:val="none"/>
                <w:lang w:val="en-US" w:eastAsia="zh-CN"/>
              </w:rPr>
              <w:t>（8）</w:t>
            </w:r>
            <w:r>
              <w:rPr>
                <w:rFonts w:hint="eastAsia"/>
                <w:color w:val="auto"/>
                <w:sz w:val="21"/>
                <w:szCs w:val="21"/>
                <w:highlight w:val="none"/>
                <w:u w:val="single"/>
                <w:lang w:val="en-US" w:eastAsia="zh-CN"/>
              </w:rPr>
              <w:t xml:space="preserve">                                                                               </w:t>
            </w:r>
          </w:p>
        </w:tc>
      </w:tr>
      <w:tr w14:paraId="1635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11123" w:type="dxa"/>
            <w:gridSpan w:val="5"/>
            <w:noWrap w:val="0"/>
            <w:vAlign w:val="top"/>
          </w:tcPr>
          <w:p w14:paraId="1E143202">
            <w:pPr>
              <w:rPr>
                <w:color w:val="auto"/>
                <w:sz w:val="21"/>
                <w:szCs w:val="21"/>
                <w:highlight w:val="none"/>
              </w:rPr>
            </w:pPr>
            <w:r>
              <w:rPr>
                <w:rFonts w:hint="eastAsia"/>
                <w:color w:val="auto"/>
                <w:sz w:val="21"/>
                <w:szCs w:val="21"/>
                <w:highlight w:val="none"/>
              </w:rPr>
              <w:t>服务评价：</w:t>
            </w:r>
          </w:p>
          <w:p w14:paraId="036CD3EB">
            <w:pPr>
              <w:rPr>
                <w:rFonts w:ascii="宋体" w:hAnsi="宋体"/>
                <w:color w:val="auto"/>
                <w:sz w:val="21"/>
                <w:szCs w:val="21"/>
                <w:highlight w:val="none"/>
              </w:rPr>
            </w:pPr>
            <w:r>
              <w:rPr>
                <w:rFonts w:hint="eastAsia" w:ascii="宋体" w:hAnsi="宋体"/>
                <w:color w:val="auto"/>
                <w:sz w:val="21"/>
                <w:szCs w:val="21"/>
                <w:highlight w:val="none"/>
              </w:rPr>
              <w:t>处理情况：□已解决</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□未解决</w:t>
            </w:r>
          </w:p>
          <w:p w14:paraId="5F19F8D1">
            <w:pPr>
              <w:rPr>
                <w:rFonts w:ascii="宋体" w:hAnsi="宋体"/>
                <w:color w:val="auto"/>
                <w:sz w:val="21"/>
                <w:szCs w:val="21"/>
                <w:highlight w:val="none"/>
              </w:rPr>
            </w:pPr>
            <w:r>
              <w:rPr>
                <w:rFonts w:hint="eastAsia" w:ascii="宋体" w:hAnsi="宋体"/>
                <w:color w:val="auto"/>
                <w:sz w:val="21"/>
                <w:szCs w:val="21"/>
                <w:highlight w:val="none"/>
              </w:rPr>
              <w:t>响应速度：□及时</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□一般</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□很慢</w:t>
            </w:r>
          </w:p>
          <w:p w14:paraId="442312EB">
            <w:pPr>
              <w:rPr>
                <w:rFonts w:ascii="宋体" w:hAnsi="宋体"/>
                <w:color w:val="auto"/>
                <w:sz w:val="21"/>
                <w:szCs w:val="21"/>
                <w:highlight w:val="none"/>
              </w:rPr>
            </w:pPr>
            <w:r>
              <w:rPr>
                <w:rFonts w:hint="eastAsia" w:ascii="宋体" w:hAnsi="宋体"/>
                <w:color w:val="auto"/>
                <w:sz w:val="21"/>
                <w:szCs w:val="21"/>
                <w:highlight w:val="none"/>
              </w:rPr>
              <w:t>技术水平：□很高</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□一般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□很差</w:t>
            </w:r>
          </w:p>
          <w:p w14:paraId="3AD2A6C8">
            <w:pPr>
              <w:rPr>
                <w:color w:val="auto"/>
                <w:sz w:val="21"/>
                <w:szCs w:val="21"/>
                <w:highlight w:val="none"/>
              </w:rPr>
            </w:pPr>
            <w:r>
              <w:rPr>
                <w:rFonts w:hint="eastAsia" w:ascii="宋体" w:hAnsi="宋体"/>
                <w:color w:val="auto"/>
                <w:sz w:val="21"/>
                <w:szCs w:val="21"/>
                <w:highlight w:val="none"/>
              </w:rPr>
              <w:t>服务态度：□很满意</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□基本满意 □不满意</w:t>
            </w:r>
          </w:p>
        </w:tc>
      </w:tr>
      <w:tr w14:paraId="3FFF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794" w:type="dxa"/>
            <w:gridSpan w:val="2"/>
            <w:noWrap w:val="0"/>
            <w:vAlign w:val="center"/>
          </w:tcPr>
          <w:p w14:paraId="5948F3C0">
            <w:pPr>
              <w:jc w:val="center"/>
              <w:rPr>
                <w:rFonts w:hint="default" w:eastAsia="仿宋_GB2312"/>
                <w:color w:val="auto"/>
                <w:sz w:val="21"/>
                <w:szCs w:val="21"/>
                <w:highlight w:val="none"/>
                <w:lang w:val="en-US" w:eastAsia="zh-CN"/>
              </w:rPr>
            </w:pPr>
            <w:r>
              <w:rPr>
                <w:rFonts w:hint="eastAsia"/>
                <w:color w:val="auto"/>
                <w:sz w:val="21"/>
                <w:szCs w:val="21"/>
                <w:highlight w:val="none"/>
                <w:lang w:val="en-US" w:eastAsia="zh-CN"/>
              </w:rPr>
              <w:t>维护人员（签名）</w:t>
            </w:r>
          </w:p>
        </w:tc>
        <w:tc>
          <w:tcPr>
            <w:tcW w:w="3774" w:type="dxa"/>
            <w:noWrap w:val="0"/>
            <w:vAlign w:val="center"/>
          </w:tcPr>
          <w:p w14:paraId="13C8ED93">
            <w:pPr>
              <w:jc w:val="center"/>
              <w:rPr>
                <w:color w:val="auto"/>
                <w:sz w:val="21"/>
                <w:szCs w:val="21"/>
                <w:highlight w:val="none"/>
              </w:rPr>
            </w:pPr>
          </w:p>
          <w:p w14:paraId="30B107CD">
            <w:pPr>
              <w:jc w:val="center"/>
              <w:rPr>
                <w:color w:val="auto"/>
                <w:sz w:val="21"/>
                <w:szCs w:val="21"/>
                <w:highlight w:val="none"/>
              </w:rPr>
            </w:pPr>
          </w:p>
          <w:p w14:paraId="442B24B4">
            <w:pPr>
              <w:jc w:val="center"/>
              <w:rPr>
                <w:color w:val="auto"/>
                <w:sz w:val="21"/>
                <w:szCs w:val="21"/>
                <w:highlight w:val="none"/>
              </w:rPr>
            </w:pPr>
          </w:p>
        </w:tc>
        <w:tc>
          <w:tcPr>
            <w:tcW w:w="2079" w:type="dxa"/>
            <w:noWrap w:val="0"/>
            <w:vAlign w:val="center"/>
          </w:tcPr>
          <w:p w14:paraId="42D38FF6">
            <w:pPr>
              <w:jc w:val="center"/>
              <w:rPr>
                <w:rFonts w:hint="eastAsia" w:eastAsia="宋体"/>
                <w:color w:val="auto"/>
                <w:sz w:val="21"/>
                <w:szCs w:val="21"/>
                <w:highlight w:val="none"/>
                <w:lang w:eastAsia="zh-CN"/>
              </w:rPr>
            </w:pPr>
            <w:r>
              <w:rPr>
                <w:rFonts w:hint="eastAsia"/>
                <w:color w:val="auto"/>
                <w:sz w:val="21"/>
                <w:szCs w:val="21"/>
                <w:highlight w:val="none"/>
                <w:lang w:val="en-US" w:eastAsia="zh-CN"/>
              </w:rPr>
              <w:t>营业厅人员（</w:t>
            </w:r>
            <w:r>
              <w:rPr>
                <w:rFonts w:hint="eastAsia"/>
                <w:color w:val="auto"/>
                <w:sz w:val="21"/>
                <w:szCs w:val="21"/>
                <w:highlight w:val="none"/>
              </w:rPr>
              <w:t>签名</w:t>
            </w:r>
            <w:r>
              <w:rPr>
                <w:rFonts w:hint="eastAsia"/>
                <w:color w:val="auto"/>
                <w:sz w:val="21"/>
                <w:szCs w:val="21"/>
                <w:highlight w:val="none"/>
                <w:lang w:eastAsia="zh-CN"/>
              </w:rPr>
              <w:t>）</w:t>
            </w:r>
          </w:p>
        </w:tc>
        <w:tc>
          <w:tcPr>
            <w:tcW w:w="3476" w:type="dxa"/>
            <w:noWrap w:val="0"/>
            <w:vAlign w:val="center"/>
          </w:tcPr>
          <w:p w14:paraId="674825B7">
            <w:pPr>
              <w:jc w:val="center"/>
              <w:rPr>
                <w:color w:val="auto"/>
                <w:sz w:val="21"/>
                <w:szCs w:val="21"/>
                <w:highlight w:val="none"/>
              </w:rPr>
            </w:pPr>
          </w:p>
          <w:p w14:paraId="3347B80C">
            <w:pPr>
              <w:jc w:val="center"/>
              <w:rPr>
                <w:color w:val="auto"/>
                <w:sz w:val="21"/>
                <w:szCs w:val="21"/>
                <w:highlight w:val="none"/>
              </w:rPr>
            </w:pPr>
          </w:p>
          <w:p w14:paraId="36CA6904">
            <w:pPr>
              <w:jc w:val="center"/>
              <w:rPr>
                <w:color w:val="auto"/>
                <w:sz w:val="21"/>
                <w:szCs w:val="21"/>
                <w:highlight w:val="none"/>
              </w:rPr>
            </w:pPr>
          </w:p>
        </w:tc>
      </w:tr>
      <w:tr w14:paraId="3C7C9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794" w:type="dxa"/>
            <w:gridSpan w:val="2"/>
            <w:noWrap w:val="0"/>
            <w:vAlign w:val="center"/>
          </w:tcPr>
          <w:p w14:paraId="74B2567F">
            <w:pPr>
              <w:jc w:val="center"/>
              <w:rPr>
                <w:color w:val="auto"/>
                <w:sz w:val="21"/>
                <w:szCs w:val="21"/>
                <w:highlight w:val="none"/>
              </w:rPr>
            </w:pPr>
            <w:r>
              <w:rPr>
                <w:rFonts w:hint="eastAsia"/>
                <w:color w:val="auto"/>
                <w:sz w:val="21"/>
                <w:szCs w:val="21"/>
                <w:highlight w:val="none"/>
              </w:rPr>
              <w:t>日期</w:t>
            </w:r>
          </w:p>
        </w:tc>
        <w:tc>
          <w:tcPr>
            <w:tcW w:w="3774" w:type="dxa"/>
            <w:noWrap w:val="0"/>
            <w:vAlign w:val="center"/>
          </w:tcPr>
          <w:p w14:paraId="20AD7652">
            <w:pPr>
              <w:jc w:val="center"/>
              <w:rPr>
                <w:color w:val="auto"/>
                <w:sz w:val="21"/>
                <w:szCs w:val="21"/>
                <w:highlight w:val="none"/>
              </w:rPr>
            </w:pPr>
          </w:p>
        </w:tc>
        <w:tc>
          <w:tcPr>
            <w:tcW w:w="2079" w:type="dxa"/>
            <w:noWrap w:val="0"/>
            <w:vAlign w:val="center"/>
          </w:tcPr>
          <w:p w14:paraId="6531C0D2">
            <w:pPr>
              <w:jc w:val="center"/>
              <w:rPr>
                <w:color w:val="auto"/>
                <w:sz w:val="21"/>
                <w:szCs w:val="21"/>
                <w:highlight w:val="none"/>
              </w:rPr>
            </w:pPr>
            <w:r>
              <w:rPr>
                <w:rFonts w:hint="eastAsia"/>
                <w:color w:val="auto"/>
                <w:sz w:val="21"/>
                <w:szCs w:val="21"/>
                <w:highlight w:val="none"/>
              </w:rPr>
              <w:t>日期</w:t>
            </w:r>
          </w:p>
        </w:tc>
        <w:tc>
          <w:tcPr>
            <w:tcW w:w="3476" w:type="dxa"/>
            <w:noWrap w:val="0"/>
            <w:vAlign w:val="center"/>
          </w:tcPr>
          <w:p w14:paraId="6C9415C8">
            <w:pPr>
              <w:jc w:val="center"/>
              <w:rPr>
                <w:color w:val="auto"/>
                <w:sz w:val="21"/>
                <w:szCs w:val="21"/>
                <w:highlight w:val="none"/>
              </w:rPr>
            </w:pPr>
          </w:p>
        </w:tc>
      </w:tr>
    </w:tbl>
    <w:p w14:paraId="4095D815">
      <w:pPr>
        <w:bidi w:val="0"/>
        <w:rPr>
          <w:rFonts w:hint="eastAsia"/>
          <w:lang w:val="en-US" w:eastAsia="zh-CN"/>
        </w:rPr>
      </w:pPr>
      <w:r>
        <w:drawing>
          <wp:anchor distT="0" distB="0" distL="0" distR="0" simplePos="0" relativeHeight="251661312" behindDoc="0" locked="0" layoutInCell="1" allowOverlap="1">
            <wp:simplePos x="0" y="0"/>
            <wp:positionH relativeFrom="column">
              <wp:posOffset>389890</wp:posOffset>
            </wp:positionH>
            <wp:positionV relativeFrom="page">
              <wp:posOffset>1264285</wp:posOffset>
            </wp:positionV>
            <wp:extent cx="5817235" cy="8070215"/>
            <wp:effectExtent l="0" t="0" r="4445" b="6985"/>
            <wp:wrapTopAndBottom/>
            <wp:docPr id="160" name="图片 2" descr="D:\【汇总】ZZ 跟进中项目\BM-营业厅维护\Z（甲方&amp;北明）2020年广州供电局音视频监控系统设备维护项目其他运行维护合同（￥194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2" descr="D:\【汇总】ZZ 跟进中项目\BM-营业厅维护\Z（甲方&amp;北明）2020年广州供电局音视频监控系统设备维护项目其他运行维护合同（￥194202.jpg"/>
                    <pic:cNvPicPr>
                      <a:picLocks noChangeAspect="1"/>
                    </pic:cNvPicPr>
                  </pic:nvPicPr>
                  <pic:blipFill>
                    <a:blip r:embed="rId9"/>
                    <a:srcRect l="8469" t="10983" r="10278" b="9273"/>
                    <a:stretch>
                      <a:fillRect/>
                    </a:stretch>
                  </pic:blipFill>
                  <pic:spPr>
                    <a:xfrm>
                      <a:off x="0" y="0"/>
                      <a:ext cx="5817235" cy="8070215"/>
                    </a:xfrm>
                    <a:prstGeom prst="rect">
                      <a:avLst/>
                    </a:prstGeom>
                    <a:noFill/>
                    <a:ln>
                      <a:noFill/>
                    </a:ln>
                  </pic:spPr>
                </pic:pic>
              </a:graphicData>
            </a:graphic>
          </wp:anchor>
        </w:drawing>
      </w:r>
      <w:r>
        <w:rPr>
          <w:rFonts w:hint="eastAsia"/>
          <w:lang w:val="en-US" w:eastAsia="zh-CN"/>
        </w:rPr>
        <w:t>视频监控设备使用以下视频监控系统报障处理记录表：</w:t>
      </w:r>
    </w:p>
    <w:p w14:paraId="5EDA936C"/>
    <w:p w14:paraId="2B5B6EE3">
      <w:pPr>
        <w:pStyle w:val="6"/>
        <w:rPr>
          <w:color w:val="auto"/>
          <w:highlight w:val="none"/>
        </w:rPr>
      </w:pPr>
      <w:bookmarkStart w:id="110" w:name="_Toc29329"/>
      <w:r>
        <w:rPr>
          <w:rFonts w:hint="eastAsia"/>
          <w:color w:val="auto"/>
          <w:highlight w:val="none"/>
        </w:rPr>
        <w:t>项目参与人员要求</w:t>
      </w:r>
      <w:bookmarkEnd w:id="110"/>
    </w:p>
    <w:p w14:paraId="15B307CC">
      <w:pPr>
        <w:spacing w:line="360" w:lineRule="auto"/>
        <w:ind w:firstLine="420" w:firstLineChars="200"/>
        <w:rPr>
          <w:color w:val="auto"/>
          <w:highlight w:val="none"/>
        </w:rPr>
      </w:pPr>
      <w:r>
        <w:rPr>
          <w:rFonts w:hint="eastAsia"/>
          <w:color w:val="auto"/>
          <w:highlight w:val="none"/>
        </w:rPr>
        <w:t>根据项目的开展情况，安排项目组总成员不得少于</w:t>
      </w:r>
      <w:r>
        <w:rPr>
          <w:rFonts w:hint="eastAsia"/>
          <w:color w:val="auto"/>
          <w:highlight w:val="none"/>
          <w:lang w:val="en-US" w:eastAsia="zh-CN"/>
        </w:rPr>
        <w:t>8</w:t>
      </w:r>
      <w:r>
        <w:rPr>
          <w:rFonts w:hint="eastAsia"/>
          <w:color w:val="auto"/>
          <w:highlight w:val="none"/>
        </w:rPr>
        <w:t>人，其中包含要求派出不少于</w:t>
      </w:r>
      <w:r>
        <w:rPr>
          <w:rFonts w:hint="eastAsia"/>
          <w:color w:val="auto"/>
          <w:highlight w:val="none"/>
          <w:lang w:val="en-US" w:eastAsia="zh-CN"/>
        </w:rPr>
        <w:t>1</w:t>
      </w:r>
      <w:r>
        <w:rPr>
          <w:rFonts w:hint="eastAsia"/>
          <w:color w:val="auto"/>
          <w:highlight w:val="none"/>
        </w:rPr>
        <w:t>名的技术人员进行驻场服务完成整个项目的实施,并提供不少于</w:t>
      </w:r>
      <w:r>
        <w:rPr>
          <w:rFonts w:hint="eastAsia"/>
          <w:color w:val="auto"/>
          <w:highlight w:val="none"/>
          <w:lang w:val="en-US" w:eastAsia="zh-CN"/>
        </w:rPr>
        <w:t>4</w:t>
      </w:r>
      <w:r>
        <w:rPr>
          <w:rFonts w:hint="eastAsia"/>
          <w:color w:val="auto"/>
          <w:highlight w:val="none"/>
        </w:rPr>
        <w:t>名项目应急人员，在项目过程中驻场人员临时无法到位情况下由应急人员顶替。</w:t>
      </w:r>
      <w:r>
        <w:rPr>
          <w:rFonts w:hint="eastAsia"/>
          <w:color w:val="auto"/>
          <w:highlight w:val="none"/>
          <w:lang w:eastAsia="zh-CN"/>
        </w:rPr>
        <w:t>中标人</w:t>
      </w:r>
      <w:r>
        <w:rPr>
          <w:rFonts w:hint="eastAsia"/>
          <w:color w:val="auto"/>
          <w:highlight w:val="none"/>
        </w:rPr>
        <w:t>需在合同完成签订后15个工作日内向招标人提供项目组成员名单。</w:t>
      </w:r>
    </w:p>
    <w:p w14:paraId="5A3BE8CB">
      <w:pPr>
        <w:spacing w:line="360" w:lineRule="auto"/>
        <w:ind w:firstLine="420" w:firstLineChars="200"/>
        <w:rPr>
          <w:color w:val="auto"/>
          <w:highlight w:val="none"/>
        </w:rPr>
      </w:pPr>
      <w:r>
        <w:rPr>
          <w:rFonts w:hint="eastAsia"/>
          <w:color w:val="auto"/>
          <w:highlight w:val="none"/>
        </w:rPr>
        <w:t>项目组成员如有临时调配或人员更换，</w:t>
      </w:r>
      <w:r>
        <w:rPr>
          <w:rFonts w:hint="eastAsia"/>
          <w:color w:val="auto"/>
          <w:highlight w:val="none"/>
          <w:lang w:eastAsia="zh-CN"/>
        </w:rPr>
        <w:t>中标人</w:t>
      </w:r>
      <w:r>
        <w:rPr>
          <w:rFonts w:hint="eastAsia"/>
          <w:color w:val="auto"/>
          <w:highlight w:val="none"/>
        </w:rPr>
        <w:t>需提供相关水平的人员，提出书面申请并盖章，经招标人书面同意后方可进行。</w:t>
      </w:r>
    </w:p>
    <w:p w14:paraId="7628AE27">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1、项目技术管理人员</w:t>
      </w:r>
    </w:p>
    <w:tbl>
      <w:tblPr>
        <w:tblStyle w:val="22"/>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394"/>
      </w:tblGrid>
      <w:tr w14:paraId="1D1D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552" w:type="dxa"/>
          </w:tcPr>
          <w:p w14:paraId="11F23345">
            <w:pPr>
              <w:jc w:val="center"/>
              <w:rPr>
                <w:b/>
                <w:color w:val="auto"/>
                <w:szCs w:val="21"/>
                <w:highlight w:val="none"/>
              </w:rPr>
            </w:pPr>
            <w:r>
              <w:rPr>
                <w:rFonts w:hint="eastAsia"/>
                <w:b/>
                <w:color w:val="auto"/>
                <w:szCs w:val="21"/>
                <w:highlight w:val="none"/>
              </w:rPr>
              <w:t>姓名</w:t>
            </w:r>
          </w:p>
        </w:tc>
        <w:tc>
          <w:tcPr>
            <w:tcW w:w="4394" w:type="dxa"/>
          </w:tcPr>
          <w:p w14:paraId="5BC51771">
            <w:pPr>
              <w:jc w:val="center"/>
              <w:rPr>
                <w:rFonts w:eastAsia="仿宋_GB2312"/>
                <w:color w:val="auto"/>
                <w:szCs w:val="21"/>
                <w:highlight w:val="none"/>
              </w:rPr>
            </w:pPr>
          </w:p>
        </w:tc>
      </w:tr>
      <w:tr w14:paraId="345F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552" w:type="dxa"/>
          </w:tcPr>
          <w:p w14:paraId="6182E707">
            <w:pPr>
              <w:jc w:val="center"/>
              <w:rPr>
                <w:b/>
                <w:color w:val="auto"/>
                <w:szCs w:val="21"/>
                <w:highlight w:val="none"/>
              </w:rPr>
            </w:pPr>
            <w:r>
              <w:rPr>
                <w:rFonts w:hint="eastAsia"/>
                <w:b/>
                <w:color w:val="auto"/>
                <w:szCs w:val="21"/>
                <w:highlight w:val="none"/>
              </w:rPr>
              <w:t>本项目中职务</w:t>
            </w:r>
          </w:p>
        </w:tc>
        <w:tc>
          <w:tcPr>
            <w:tcW w:w="4394" w:type="dxa"/>
          </w:tcPr>
          <w:p w14:paraId="4AE6D59A">
            <w:pPr>
              <w:jc w:val="center"/>
              <w:rPr>
                <w:color w:val="auto"/>
                <w:szCs w:val="21"/>
                <w:highlight w:val="none"/>
              </w:rPr>
            </w:pPr>
          </w:p>
        </w:tc>
      </w:tr>
      <w:tr w14:paraId="01C1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552" w:type="dxa"/>
            <w:tcBorders>
              <w:bottom w:val="double" w:color="auto" w:sz="4" w:space="0"/>
            </w:tcBorders>
          </w:tcPr>
          <w:p w14:paraId="4BF295F9">
            <w:pPr>
              <w:jc w:val="center"/>
              <w:rPr>
                <w:b/>
                <w:color w:val="auto"/>
                <w:szCs w:val="21"/>
                <w:highlight w:val="none"/>
              </w:rPr>
            </w:pPr>
            <w:r>
              <w:rPr>
                <w:rFonts w:hint="eastAsia"/>
                <w:b/>
                <w:color w:val="auto"/>
                <w:szCs w:val="21"/>
                <w:highlight w:val="none"/>
              </w:rPr>
              <w:t>联系电话</w:t>
            </w:r>
          </w:p>
        </w:tc>
        <w:tc>
          <w:tcPr>
            <w:tcW w:w="4394" w:type="dxa"/>
            <w:tcBorders>
              <w:bottom w:val="double" w:color="auto" w:sz="4" w:space="0"/>
            </w:tcBorders>
          </w:tcPr>
          <w:p w14:paraId="1B8EBC7E">
            <w:pPr>
              <w:jc w:val="center"/>
              <w:rPr>
                <w:rFonts w:eastAsia="仿宋_GB2312"/>
                <w:color w:val="auto"/>
                <w:szCs w:val="21"/>
                <w:highlight w:val="none"/>
              </w:rPr>
            </w:pPr>
          </w:p>
        </w:tc>
      </w:tr>
      <w:tr w14:paraId="4116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552" w:type="dxa"/>
            <w:tcBorders>
              <w:top w:val="double" w:color="auto" w:sz="4" w:space="0"/>
            </w:tcBorders>
          </w:tcPr>
          <w:p w14:paraId="19B687F5">
            <w:pPr>
              <w:jc w:val="center"/>
              <w:rPr>
                <w:b/>
                <w:color w:val="auto"/>
                <w:szCs w:val="21"/>
                <w:highlight w:val="none"/>
              </w:rPr>
            </w:pPr>
            <w:r>
              <w:rPr>
                <w:rFonts w:hint="eastAsia"/>
                <w:b/>
                <w:color w:val="auto"/>
                <w:szCs w:val="21"/>
                <w:highlight w:val="none"/>
              </w:rPr>
              <w:t>姓名</w:t>
            </w:r>
          </w:p>
        </w:tc>
        <w:tc>
          <w:tcPr>
            <w:tcW w:w="4394" w:type="dxa"/>
            <w:tcBorders>
              <w:top w:val="double" w:color="auto" w:sz="4" w:space="0"/>
            </w:tcBorders>
          </w:tcPr>
          <w:p w14:paraId="55DE52F7">
            <w:pPr>
              <w:jc w:val="center"/>
              <w:rPr>
                <w:rFonts w:eastAsia="仿宋_GB2312"/>
                <w:color w:val="auto"/>
                <w:szCs w:val="21"/>
                <w:highlight w:val="none"/>
              </w:rPr>
            </w:pPr>
          </w:p>
        </w:tc>
      </w:tr>
      <w:tr w14:paraId="5258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552" w:type="dxa"/>
          </w:tcPr>
          <w:p w14:paraId="4C02A487">
            <w:pPr>
              <w:jc w:val="center"/>
              <w:rPr>
                <w:b/>
                <w:color w:val="auto"/>
                <w:szCs w:val="21"/>
                <w:highlight w:val="none"/>
              </w:rPr>
            </w:pPr>
            <w:r>
              <w:rPr>
                <w:rFonts w:hint="eastAsia"/>
                <w:b/>
                <w:color w:val="auto"/>
                <w:szCs w:val="21"/>
                <w:highlight w:val="none"/>
              </w:rPr>
              <w:t>本项目中职务</w:t>
            </w:r>
          </w:p>
        </w:tc>
        <w:tc>
          <w:tcPr>
            <w:tcW w:w="4394" w:type="dxa"/>
          </w:tcPr>
          <w:p w14:paraId="032919C1">
            <w:pPr>
              <w:jc w:val="center"/>
              <w:rPr>
                <w:color w:val="auto"/>
                <w:szCs w:val="21"/>
                <w:highlight w:val="none"/>
              </w:rPr>
            </w:pPr>
          </w:p>
        </w:tc>
      </w:tr>
      <w:tr w14:paraId="54DE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552" w:type="dxa"/>
          </w:tcPr>
          <w:p w14:paraId="0AD2444D">
            <w:pPr>
              <w:jc w:val="center"/>
              <w:rPr>
                <w:b/>
                <w:color w:val="auto"/>
                <w:szCs w:val="21"/>
                <w:highlight w:val="none"/>
              </w:rPr>
            </w:pPr>
            <w:r>
              <w:rPr>
                <w:rFonts w:hint="eastAsia"/>
                <w:b/>
                <w:color w:val="auto"/>
                <w:szCs w:val="21"/>
                <w:highlight w:val="none"/>
              </w:rPr>
              <w:t>联系电话</w:t>
            </w:r>
          </w:p>
        </w:tc>
        <w:tc>
          <w:tcPr>
            <w:tcW w:w="4394" w:type="dxa"/>
          </w:tcPr>
          <w:p w14:paraId="4AFB9551">
            <w:pPr>
              <w:jc w:val="center"/>
              <w:rPr>
                <w:rFonts w:eastAsia="仿宋_GB2312"/>
                <w:color w:val="auto"/>
                <w:szCs w:val="21"/>
                <w:highlight w:val="none"/>
              </w:rPr>
            </w:pPr>
          </w:p>
        </w:tc>
      </w:tr>
    </w:tbl>
    <w:p w14:paraId="443D38E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2、项目人员配备情况</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3762"/>
        <w:gridCol w:w="1521"/>
        <w:gridCol w:w="2356"/>
      </w:tblGrid>
      <w:tr w14:paraId="4E4D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vAlign w:val="center"/>
          </w:tcPr>
          <w:p w14:paraId="73BD03EC">
            <w:pPr>
              <w:jc w:val="center"/>
              <w:rPr>
                <w:color w:val="auto"/>
                <w:szCs w:val="21"/>
                <w:highlight w:val="none"/>
              </w:rPr>
            </w:pPr>
            <w:r>
              <w:rPr>
                <w:rFonts w:hint="eastAsia"/>
                <w:b/>
                <w:color w:val="auto"/>
                <w:szCs w:val="21"/>
                <w:highlight w:val="none"/>
              </w:rPr>
              <w:t>人员名称</w:t>
            </w:r>
          </w:p>
        </w:tc>
        <w:tc>
          <w:tcPr>
            <w:tcW w:w="3762" w:type="dxa"/>
            <w:vAlign w:val="center"/>
          </w:tcPr>
          <w:p w14:paraId="3AC925C7">
            <w:pPr>
              <w:jc w:val="center"/>
              <w:rPr>
                <w:color w:val="auto"/>
                <w:szCs w:val="21"/>
                <w:highlight w:val="none"/>
              </w:rPr>
            </w:pPr>
            <w:r>
              <w:rPr>
                <w:rFonts w:hint="eastAsia"/>
                <w:b/>
                <w:color w:val="auto"/>
                <w:szCs w:val="21"/>
                <w:highlight w:val="none"/>
              </w:rPr>
              <w:t>负责职责</w:t>
            </w:r>
          </w:p>
        </w:tc>
        <w:tc>
          <w:tcPr>
            <w:tcW w:w="1521" w:type="dxa"/>
            <w:vAlign w:val="center"/>
          </w:tcPr>
          <w:p w14:paraId="254BB953">
            <w:pPr>
              <w:jc w:val="center"/>
              <w:rPr>
                <w:color w:val="auto"/>
                <w:szCs w:val="21"/>
                <w:highlight w:val="none"/>
              </w:rPr>
            </w:pPr>
            <w:r>
              <w:rPr>
                <w:rFonts w:hint="eastAsia"/>
                <w:b/>
                <w:color w:val="auto"/>
                <w:szCs w:val="21"/>
                <w:highlight w:val="none"/>
              </w:rPr>
              <w:t>工作地点</w:t>
            </w:r>
          </w:p>
        </w:tc>
        <w:tc>
          <w:tcPr>
            <w:tcW w:w="2356" w:type="dxa"/>
            <w:vAlign w:val="center"/>
          </w:tcPr>
          <w:p w14:paraId="10E0C1AD">
            <w:pPr>
              <w:jc w:val="center"/>
              <w:rPr>
                <w:color w:val="auto"/>
                <w:szCs w:val="21"/>
                <w:highlight w:val="none"/>
              </w:rPr>
            </w:pPr>
            <w:r>
              <w:rPr>
                <w:rFonts w:hint="eastAsia"/>
                <w:b/>
                <w:color w:val="auto"/>
                <w:szCs w:val="21"/>
                <w:highlight w:val="none"/>
              </w:rPr>
              <w:t>备注</w:t>
            </w:r>
          </w:p>
        </w:tc>
      </w:tr>
      <w:tr w14:paraId="39974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vAlign w:val="center"/>
          </w:tcPr>
          <w:p w14:paraId="774D401D">
            <w:pPr>
              <w:jc w:val="center"/>
              <w:rPr>
                <w:rFonts w:eastAsia="仿宋_GB2312"/>
                <w:color w:val="auto"/>
                <w:szCs w:val="21"/>
                <w:highlight w:val="none"/>
              </w:rPr>
            </w:pPr>
            <w:r>
              <w:rPr>
                <w:rFonts w:hint="eastAsia"/>
                <w:color w:val="auto"/>
                <w:szCs w:val="21"/>
                <w:highlight w:val="none"/>
              </w:rPr>
              <w:t>姓名</w:t>
            </w:r>
          </w:p>
        </w:tc>
        <w:tc>
          <w:tcPr>
            <w:tcW w:w="3762" w:type="dxa"/>
            <w:vAlign w:val="center"/>
          </w:tcPr>
          <w:p w14:paraId="7402FF75">
            <w:pPr>
              <w:jc w:val="center"/>
              <w:rPr>
                <w:color w:val="auto"/>
                <w:szCs w:val="21"/>
                <w:highlight w:val="none"/>
              </w:rPr>
            </w:pPr>
            <w:r>
              <w:rPr>
                <w:rFonts w:hint="eastAsia"/>
                <w:color w:val="auto"/>
                <w:szCs w:val="21"/>
                <w:highlight w:val="none"/>
              </w:rPr>
              <w:t>例：广州城区（天河、白云、越秀、荔湾、海珠）维护组长</w:t>
            </w:r>
          </w:p>
        </w:tc>
        <w:tc>
          <w:tcPr>
            <w:tcW w:w="1521" w:type="dxa"/>
            <w:vAlign w:val="center"/>
          </w:tcPr>
          <w:p w14:paraId="620918E7">
            <w:pPr>
              <w:jc w:val="center"/>
              <w:rPr>
                <w:color w:val="auto"/>
                <w:szCs w:val="21"/>
                <w:highlight w:val="none"/>
              </w:rPr>
            </w:pPr>
            <w:r>
              <w:rPr>
                <w:rFonts w:hint="eastAsia"/>
                <w:color w:val="auto"/>
                <w:szCs w:val="21"/>
                <w:highlight w:val="none"/>
              </w:rPr>
              <w:t>广州</w:t>
            </w:r>
          </w:p>
        </w:tc>
        <w:tc>
          <w:tcPr>
            <w:tcW w:w="2356" w:type="dxa"/>
            <w:vAlign w:val="center"/>
          </w:tcPr>
          <w:p w14:paraId="41429685">
            <w:pPr>
              <w:jc w:val="center"/>
              <w:rPr>
                <w:color w:val="auto"/>
                <w:szCs w:val="21"/>
                <w:highlight w:val="none"/>
              </w:rPr>
            </w:pPr>
            <w:r>
              <w:rPr>
                <w:rFonts w:hint="eastAsia"/>
                <w:color w:val="auto"/>
                <w:szCs w:val="21"/>
                <w:highlight w:val="none"/>
              </w:rPr>
              <w:t>广州城区驻点</w:t>
            </w:r>
          </w:p>
        </w:tc>
      </w:tr>
      <w:tr w14:paraId="5863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vAlign w:val="center"/>
          </w:tcPr>
          <w:p w14:paraId="1A1F3AD8">
            <w:pPr>
              <w:jc w:val="center"/>
              <w:rPr>
                <w:rFonts w:eastAsia="仿宋_GB2312"/>
                <w:color w:val="auto"/>
                <w:szCs w:val="21"/>
                <w:highlight w:val="none"/>
              </w:rPr>
            </w:pPr>
            <w:r>
              <w:rPr>
                <w:rFonts w:hint="eastAsia"/>
                <w:color w:val="auto"/>
                <w:szCs w:val="21"/>
                <w:highlight w:val="none"/>
              </w:rPr>
              <w:t>姓名</w:t>
            </w:r>
          </w:p>
        </w:tc>
        <w:tc>
          <w:tcPr>
            <w:tcW w:w="3762" w:type="dxa"/>
            <w:vAlign w:val="center"/>
          </w:tcPr>
          <w:p w14:paraId="23865157">
            <w:pPr>
              <w:jc w:val="center"/>
              <w:rPr>
                <w:color w:val="auto"/>
                <w:szCs w:val="21"/>
                <w:highlight w:val="none"/>
              </w:rPr>
            </w:pPr>
            <w:r>
              <w:rPr>
                <w:rFonts w:hint="eastAsia"/>
                <w:color w:val="auto"/>
                <w:szCs w:val="21"/>
                <w:highlight w:val="none"/>
              </w:rPr>
              <w:t>例：广州城区（天河、白云、越秀、荔湾、海珠）运维技术员</w:t>
            </w:r>
          </w:p>
        </w:tc>
        <w:tc>
          <w:tcPr>
            <w:tcW w:w="1521" w:type="dxa"/>
            <w:vAlign w:val="center"/>
          </w:tcPr>
          <w:p w14:paraId="5CF10EEC">
            <w:pPr>
              <w:jc w:val="center"/>
              <w:rPr>
                <w:color w:val="auto"/>
                <w:szCs w:val="21"/>
                <w:highlight w:val="none"/>
              </w:rPr>
            </w:pPr>
            <w:r>
              <w:rPr>
                <w:rFonts w:hint="eastAsia"/>
                <w:color w:val="auto"/>
                <w:szCs w:val="21"/>
                <w:highlight w:val="none"/>
              </w:rPr>
              <w:t>广州</w:t>
            </w:r>
          </w:p>
        </w:tc>
        <w:tc>
          <w:tcPr>
            <w:tcW w:w="2356" w:type="dxa"/>
            <w:vAlign w:val="center"/>
          </w:tcPr>
          <w:p w14:paraId="3D7C4E16">
            <w:pPr>
              <w:jc w:val="center"/>
              <w:rPr>
                <w:color w:val="auto"/>
                <w:szCs w:val="21"/>
                <w:highlight w:val="none"/>
              </w:rPr>
            </w:pPr>
            <w:r>
              <w:rPr>
                <w:rFonts w:hint="eastAsia"/>
                <w:color w:val="auto"/>
                <w:szCs w:val="21"/>
                <w:highlight w:val="none"/>
              </w:rPr>
              <w:t>广州城区驻点</w:t>
            </w:r>
          </w:p>
        </w:tc>
      </w:tr>
      <w:tr w14:paraId="2F1C0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vAlign w:val="center"/>
          </w:tcPr>
          <w:p w14:paraId="17D9409D">
            <w:pPr>
              <w:jc w:val="center"/>
              <w:rPr>
                <w:color w:val="auto"/>
                <w:szCs w:val="21"/>
                <w:highlight w:val="none"/>
              </w:rPr>
            </w:pPr>
          </w:p>
        </w:tc>
        <w:tc>
          <w:tcPr>
            <w:tcW w:w="3762" w:type="dxa"/>
            <w:vAlign w:val="center"/>
          </w:tcPr>
          <w:p w14:paraId="5C338BEF">
            <w:pPr>
              <w:jc w:val="center"/>
              <w:rPr>
                <w:color w:val="auto"/>
                <w:szCs w:val="21"/>
                <w:highlight w:val="none"/>
              </w:rPr>
            </w:pPr>
          </w:p>
        </w:tc>
        <w:tc>
          <w:tcPr>
            <w:tcW w:w="1521" w:type="dxa"/>
            <w:vAlign w:val="center"/>
          </w:tcPr>
          <w:p w14:paraId="192D7789">
            <w:pPr>
              <w:jc w:val="center"/>
              <w:rPr>
                <w:color w:val="auto"/>
                <w:szCs w:val="21"/>
                <w:highlight w:val="none"/>
              </w:rPr>
            </w:pPr>
          </w:p>
        </w:tc>
        <w:tc>
          <w:tcPr>
            <w:tcW w:w="2356" w:type="dxa"/>
            <w:vAlign w:val="center"/>
          </w:tcPr>
          <w:p w14:paraId="63D38338">
            <w:pPr>
              <w:jc w:val="center"/>
              <w:rPr>
                <w:color w:val="auto"/>
                <w:szCs w:val="21"/>
                <w:highlight w:val="none"/>
              </w:rPr>
            </w:pPr>
          </w:p>
        </w:tc>
      </w:tr>
      <w:tr w14:paraId="5944B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vAlign w:val="center"/>
          </w:tcPr>
          <w:p w14:paraId="1B66B8DF">
            <w:pPr>
              <w:jc w:val="center"/>
              <w:rPr>
                <w:color w:val="auto"/>
                <w:szCs w:val="21"/>
                <w:highlight w:val="none"/>
              </w:rPr>
            </w:pPr>
          </w:p>
        </w:tc>
        <w:tc>
          <w:tcPr>
            <w:tcW w:w="3762" w:type="dxa"/>
            <w:vAlign w:val="center"/>
          </w:tcPr>
          <w:p w14:paraId="5D972093">
            <w:pPr>
              <w:jc w:val="center"/>
              <w:rPr>
                <w:color w:val="auto"/>
                <w:szCs w:val="21"/>
                <w:highlight w:val="none"/>
              </w:rPr>
            </w:pPr>
          </w:p>
        </w:tc>
        <w:tc>
          <w:tcPr>
            <w:tcW w:w="1521" w:type="dxa"/>
            <w:vAlign w:val="center"/>
          </w:tcPr>
          <w:p w14:paraId="112C6417">
            <w:pPr>
              <w:jc w:val="center"/>
              <w:rPr>
                <w:color w:val="auto"/>
                <w:szCs w:val="21"/>
                <w:highlight w:val="none"/>
              </w:rPr>
            </w:pPr>
          </w:p>
        </w:tc>
        <w:tc>
          <w:tcPr>
            <w:tcW w:w="2356" w:type="dxa"/>
            <w:vAlign w:val="center"/>
          </w:tcPr>
          <w:p w14:paraId="504C035C">
            <w:pPr>
              <w:jc w:val="center"/>
              <w:rPr>
                <w:color w:val="auto"/>
                <w:szCs w:val="21"/>
                <w:highlight w:val="none"/>
              </w:rPr>
            </w:pPr>
          </w:p>
        </w:tc>
      </w:tr>
      <w:tr w14:paraId="1D04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vAlign w:val="center"/>
          </w:tcPr>
          <w:p w14:paraId="37AD0033">
            <w:pPr>
              <w:jc w:val="center"/>
              <w:rPr>
                <w:color w:val="auto"/>
                <w:szCs w:val="21"/>
                <w:highlight w:val="none"/>
              </w:rPr>
            </w:pPr>
          </w:p>
        </w:tc>
        <w:tc>
          <w:tcPr>
            <w:tcW w:w="3762" w:type="dxa"/>
            <w:vAlign w:val="center"/>
          </w:tcPr>
          <w:p w14:paraId="0E2C118C">
            <w:pPr>
              <w:jc w:val="center"/>
              <w:rPr>
                <w:color w:val="auto"/>
                <w:szCs w:val="21"/>
                <w:highlight w:val="none"/>
              </w:rPr>
            </w:pPr>
          </w:p>
        </w:tc>
        <w:tc>
          <w:tcPr>
            <w:tcW w:w="1521" w:type="dxa"/>
            <w:vAlign w:val="center"/>
          </w:tcPr>
          <w:p w14:paraId="60355A1C">
            <w:pPr>
              <w:jc w:val="center"/>
              <w:rPr>
                <w:color w:val="auto"/>
                <w:szCs w:val="21"/>
                <w:highlight w:val="none"/>
              </w:rPr>
            </w:pPr>
          </w:p>
        </w:tc>
        <w:tc>
          <w:tcPr>
            <w:tcW w:w="2356" w:type="dxa"/>
            <w:vAlign w:val="center"/>
          </w:tcPr>
          <w:p w14:paraId="50344BDD">
            <w:pPr>
              <w:jc w:val="center"/>
              <w:rPr>
                <w:color w:val="auto"/>
                <w:szCs w:val="21"/>
                <w:highlight w:val="none"/>
              </w:rPr>
            </w:pPr>
          </w:p>
        </w:tc>
      </w:tr>
      <w:tr w14:paraId="1FB1E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vAlign w:val="center"/>
          </w:tcPr>
          <w:p w14:paraId="24FEBBD4">
            <w:pPr>
              <w:jc w:val="center"/>
              <w:rPr>
                <w:color w:val="auto"/>
                <w:szCs w:val="21"/>
                <w:highlight w:val="none"/>
              </w:rPr>
            </w:pPr>
          </w:p>
        </w:tc>
        <w:tc>
          <w:tcPr>
            <w:tcW w:w="3762" w:type="dxa"/>
            <w:vAlign w:val="center"/>
          </w:tcPr>
          <w:p w14:paraId="1E3772C1">
            <w:pPr>
              <w:jc w:val="center"/>
              <w:rPr>
                <w:color w:val="auto"/>
                <w:szCs w:val="21"/>
                <w:highlight w:val="none"/>
              </w:rPr>
            </w:pPr>
          </w:p>
        </w:tc>
        <w:tc>
          <w:tcPr>
            <w:tcW w:w="1521" w:type="dxa"/>
            <w:vAlign w:val="center"/>
          </w:tcPr>
          <w:p w14:paraId="56530374">
            <w:pPr>
              <w:jc w:val="center"/>
              <w:rPr>
                <w:color w:val="auto"/>
                <w:szCs w:val="21"/>
                <w:highlight w:val="none"/>
              </w:rPr>
            </w:pPr>
          </w:p>
        </w:tc>
        <w:tc>
          <w:tcPr>
            <w:tcW w:w="2356" w:type="dxa"/>
            <w:vAlign w:val="center"/>
          </w:tcPr>
          <w:p w14:paraId="472F92E5">
            <w:pPr>
              <w:jc w:val="center"/>
              <w:rPr>
                <w:color w:val="auto"/>
                <w:szCs w:val="21"/>
                <w:highlight w:val="none"/>
              </w:rPr>
            </w:pPr>
          </w:p>
        </w:tc>
      </w:tr>
      <w:tr w14:paraId="146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vAlign w:val="center"/>
          </w:tcPr>
          <w:p w14:paraId="34181EC9">
            <w:pPr>
              <w:jc w:val="center"/>
              <w:rPr>
                <w:color w:val="auto"/>
                <w:szCs w:val="21"/>
                <w:highlight w:val="none"/>
              </w:rPr>
            </w:pPr>
          </w:p>
        </w:tc>
        <w:tc>
          <w:tcPr>
            <w:tcW w:w="3762" w:type="dxa"/>
            <w:vAlign w:val="center"/>
          </w:tcPr>
          <w:p w14:paraId="7BDB8055">
            <w:pPr>
              <w:jc w:val="center"/>
              <w:rPr>
                <w:color w:val="auto"/>
                <w:szCs w:val="21"/>
                <w:highlight w:val="none"/>
              </w:rPr>
            </w:pPr>
          </w:p>
        </w:tc>
        <w:tc>
          <w:tcPr>
            <w:tcW w:w="1521" w:type="dxa"/>
            <w:vAlign w:val="center"/>
          </w:tcPr>
          <w:p w14:paraId="6B4BDE26">
            <w:pPr>
              <w:jc w:val="center"/>
              <w:rPr>
                <w:color w:val="auto"/>
                <w:szCs w:val="21"/>
                <w:highlight w:val="none"/>
              </w:rPr>
            </w:pPr>
          </w:p>
        </w:tc>
        <w:tc>
          <w:tcPr>
            <w:tcW w:w="2356" w:type="dxa"/>
            <w:vAlign w:val="center"/>
          </w:tcPr>
          <w:p w14:paraId="36CF1E2C">
            <w:pPr>
              <w:jc w:val="center"/>
              <w:rPr>
                <w:color w:val="auto"/>
                <w:szCs w:val="21"/>
                <w:highlight w:val="none"/>
              </w:rPr>
            </w:pPr>
          </w:p>
        </w:tc>
      </w:tr>
      <w:tr w14:paraId="2085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vAlign w:val="center"/>
          </w:tcPr>
          <w:p w14:paraId="101E8371">
            <w:pPr>
              <w:jc w:val="center"/>
              <w:rPr>
                <w:color w:val="auto"/>
                <w:szCs w:val="21"/>
                <w:highlight w:val="none"/>
              </w:rPr>
            </w:pPr>
          </w:p>
        </w:tc>
        <w:tc>
          <w:tcPr>
            <w:tcW w:w="3762" w:type="dxa"/>
            <w:vAlign w:val="center"/>
          </w:tcPr>
          <w:p w14:paraId="6C622A34">
            <w:pPr>
              <w:jc w:val="center"/>
              <w:rPr>
                <w:color w:val="auto"/>
                <w:szCs w:val="21"/>
                <w:highlight w:val="none"/>
              </w:rPr>
            </w:pPr>
          </w:p>
        </w:tc>
        <w:tc>
          <w:tcPr>
            <w:tcW w:w="1521" w:type="dxa"/>
            <w:vAlign w:val="center"/>
          </w:tcPr>
          <w:p w14:paraId="6DE86106">
            <w:pPr>
              <w:jc w:val="center"/>
              <w:rPr>
                <w:color w:val="auto"/>
                <w:szCs w:val="21"/>
                <w:highlight w:val="none"/>
              </w:rPr>
            </w:pPr>
          </w:p>
        </w:tc>
        <w:tc>
          <w:tcPr>
            <w:tcW w:w="2356" w:type="dxa"/>
            <w:vAlign w:val="center"/>
          </w:tcPr>
          <w:p w14:paraId="2AD4780D">
            <w:pPr>
              <w:jc w:val="center"/>
              <w:rPr>
                <w:color w:val="auto"/>
                <w:szCs w:val="21"/>
                <w:highlight w:val="none"/>
              </w:rPr>
            </w:pPr>
          </w:p>
        </w:tc>
      </w:tr>
    </w:tbl>
    <w:p w14:paraId="4005A02E">
      <w:pPr>
        <w:pStyle w:val="6"/>
        <w:tabs>
          <w:tab w:val="left" w:pos="720"/>
        </w:tabs>
        <w:ind w:left="720" w:hanging="720"/>
        <w:rPr>
          <w:color w:val="auto"/>
          <w:highlight w:val="none"/>
        </w:rPr>
      </w:pPr>
      <w:bookmarkStart w:id="111" w:name="_Toc25840"/>
      <w:r>
        <w:rPr>
          <w:color w:val="auto"/>
          <w:highlight w:val="none"/>
        </w:rPr>
        <w:t>项目验收要求</w:t>
      </w:r>
      <w:bookmarkEnd w:id="111"/>
    </w:p>
    <w:p w14:paraId="6D69C492">
      <w:pPr>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本项目验收严格按中国南方电网公司</w:t>
      </w:r>
      <w:r>
        <w:rPr>
          <w:rFonts w:hint="eastAsia"/>
          <w:color w:val="auto"/>
          <w:highlight w:val="none"/>
          <w:lang w:val="en-US" w:eastAsia="zh-CN"/>
        </w:rPr>
        <w:t>营业厅配套设备</w:t>
      </w:r>
      <w:r>
        <w:rPr>
          <w:rFonts w:hint="eastAsia" w:ascii="宋体" w:hAnsi="宋体"/>
          <w:color w:val="auto"/>
          <w:spacing w:val="6"/>
          <w:szCs w:val="21"/>
          <w:highlight w:val="none"/>
        </w:rPr>
        <w:t>项目验收相关规定进行。</w:t>
      </w:r>
    </w:p>
    <w:p w14:paraId="55935DF5">
      <w:pPr>
        <w:bidi w:val="0"/>
        <w:ind w:firstLine="420" w:firstLineChars="200"/>
        <w:rPr>
          <w:rFonts w:hint="eastAsia" w:eastAsia="宋体"/>
          <w:color w:val="auto"/>
          <w:highlight w:val="none"/>
          <w:lang w:eastAsia="zh-CN"/>
        </w:rPr>
      </w:pPr>
      <w:r>
        <w:rPr>
          <w:rFonts w:hint="eastAsia"/>
          <w:color w:val="auto"/>
          <w:highlight w:val="none"/>
        </w:rPr>
        <w:t>主要交付资料</w:t>
      </w:r>
      <w:r>
        <w:rPr>
          <w:rFonts w:hint="eastAsia"/>
          <w:color w:val="auto"/>
          <w:highlight w:val="none"/>
          <w:lang w:eastAsia="zh-CN"/>
        </w:rPr>
        <w:t>：</w:t>
      </w:r>
    </w:p>
    <w:p w14:paraId="07F3230B">
      <w:pPr>
        <w:ind w:firstLine="420" w:firstLineChars="200"/>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w:t>
      </w:r>
      <w:r>
        <w:rPr>
          <w:rFonts w:hint="eastAsia"/>
          <w:color w:val="auto"/>
          <w:highlight w:val="none"/>
          <w:lang w:val="en-US" w:eastAsia="zh-CN"/>
        </w:rPr>
        <w:t>营业厅配套设备修理</w:t>
      </w:r>
      <w:r>
        <w:rPr>
          <w:rFonts w:hint="eastAsia" w:ascii="宋体" w:hAnsi="宋体" w:eastAsia="宋体" w:cs="Times New Roman"/>
          <w:color w:val="auto"/>
          <w:szCs w:val="21"/>
          <w:highlight w:val="none"/>
          <w:lang w:val="en-US" w:eastAsia="zh-CN"/>
        </w:rPr>
        <w:t>报告</w:t>
      </w:r>
      <w:r>
        <w:rPr>
          <w:rFonts w:hint="eastAsia" w:ascii="宋体" w:hAnsi="宋体" w:cs="Times New Roman"/>
          <w:color w:val="auto"/>
          <w:szCs w:val="21"/>
          <w:highlight w:val="none"/>
          <w:lang w:val="en-US" w:eastAsia="zh-CN"/>
        </w:rPr>
        <w:t>。</w:t>
      </w:r>
    </w:p>
    <w:p w14:paraId="653820EF">
      <w:pPr>
        <w:ind w:firstLine="420" w:firstLineChars="200"/>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w:t>
      </w:r>
      <w:r>
        <w:rPr>
          <w:rFonts w:hint="eastAsia"/>
          <w:color w:val="auto"/>
          <w:highlight w:val="none"/>
          <w:lang w:val="en-US" w:eastAsia="zh-CN"/>
        </w:rPr>
        <w:t>营业厅配套设备修理</w:t>
      </w:r>
      <w:r>
        <w:rPr>
          <w:rFonts w:hint="eastAsia" w:ascii="宋体" w:hAnsi="宋体" w:eastAsia="宋体" w:cs="Times New Roman"/>
          <w:color w:val="auto"/>
          <w:szCs w:val="21"/>
          <w:highlight w:val="none"/>
          <w:lang w:val="en-US" w:eastAsia="zh-CN"/>
        </w:rPr>
        <w:t>年度总结报告</w:t>
      </w:r>
      <w:r>
        <w:rPr>
          <w:rFonts w:hint="eastAsia" w:ascii="宋体" w:hAnsi="宋体" w:cs="Times New Roman"/>
          <w:color w:val="auto"/>
          <w:szCs w:val="21"/>
          <w:highlight w:val="none"/>
          <w:lang w:val="en-US" w:eastAsia="zh-CN"/>
        </w:rPr>
        <w:t>。</w:t>
      </w:r>
    </w:p>
    <w:p w14:paraId="494C94D5">
      <w:pPr>
        <w:ind w:firstLine="420" w:firstLineChars="200"/>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w:t>
      </w:r>
      <w:r>
        <w:rPr>
          <w:rFonts w:hint="eastAsia"/>
          <w:color w:val="auto"/>
          <w:highlight w:val="none"/>
          <w:lang w:val="en-US" w:eastAsia="zh-CN"/>
        </w:rPr>
        <w:t>营业厅配套设备修理</w:t>
      </w:r>
      <w:r>
        <w:rPr>
          <w:rFonts w:hint="eastAsia" w:ascii="宋体" w:hAnsi="宋体" w:eastAsia="宋体" w:cs="Times New Roman"/>
          <w:color w:val="auto"/>
          <w:szCs w:val="21"/>
          <w:highlight w:val="none"/>
          <w:lang w:val="en-US" w:eastAsia="zh-CN"/>
        </w:rPr>
        <w:t>台帐</w:t>
      </w:r>
      <w:r>
        <w:rPr>
          <w:rFonts w:hint="eastAsia" w:ascii="宋体" w:hAnsi="宋体" w:cs="Times New Roman"/>
          <w:color w:val="auto"/>
          <w:szCs w:val="21"/>
          <w:highlight w:val="none"/>
          <w:lang w:val="en-US" w:eastAsia="zh-CN"/>
        </w:rPr>
        <w:t>。</w:t>
      </w:r>
    </w:p>
    <w:p w14:paraId="368B4659">
      <w:pPr>
        <w:bidi w:val="0"/>
        <w:ind w:firstLine="420" w:firstLineChars="200"/>
        <w:rPr>
          <w:color w:val="auto"/>
          <w:highlight w:val="none"/>
        </w:rPr>
      </w:pPr>
      <w:r>
        <w:rPr>
          <w:rFonts w:hint="eastAsia" w:ascii="宋体" w:hAnsi="宋体" w:eastAsia="宋体" w:cs="Times New Roman"/>
          <w:color w:val="auto"/>
          <w:szCs w:val="21"/>
          <w:highlight w:val="none"/>
          <w:lang w:val="en-US" w:eastAsia="zh-CN"/>
        </w:rPr>
        <w:t>4、</w:t>
      </w:r>
      <w:r>
        <w:rPr>
          <w:rFonts w:hint="eastAsia"/>
          <w:color w:val="auto"/>
          <w:highlight w:val="none"/>
          <w:lang w:val="en-US" w:eastAsia="zh-CN"/>
        </w:rPr>
        <w:t>营业厅配套设备巡检清洁单、运维故障处理单、视频监控设备巡检表、</w:t>
      </w:r>
      <w:r>
        <w:rPr>
          <w:rFonts w:hint="eastAsia" w:ascii="Times New Roman" w:hAnsi="Times New Roman" w:eastAsia="宋体" w:cs="Times New Roman"/>
          <w:b w:val="0"/>
          <w:bCs w:val="0"/>
          <w:kern w:val="2"/>
          <w:sz w:val="21"/>
          <w:szCs w:val="20"/>
          <w:lang w:val="en-US" w:eastAsia="zh-CN" w:bidi="ar-SA"/>
        </w:rPr>
        <w:t>视频监控系统报障处理记录表</w:t>
      </w:r>
      <w:r>
        <w:rPr>
          <w:rFonts w:hint="eastAsia"/>
          <w:color w:val="auto"/>
          <w:highlight w:val="none"/>
          <w:lang w:eastAsia="zh-CN"/>
        </w:rPr>
        <w:t>。</w:t>
      </w:r>
    </w:p>
    <w:p w14:paraId="39DD6512">
      <w:pPr>
        <w:pStyle w:val="6"/>
        <w:tabs>
          <w:tab w:val="left" w:pos="720"/>
        </w:tabs>
        <w:ind w:left="720" w:hanging="720"/>
        <w:rPr>
          <w:color w:val="auto"/>
          <w:highlight w:val="none"/>
        </w:rPr>
      </w:pPr>
      <w:bookmarkStart w:id="112" w:name="_Toc24269"/>
      <w:r>
        <w:rPr>
          <w:color w:val="auto"/>
          <w:highlight w:val="none"/>
        </w:rPr>
        <w:t>技术服务要求</w:t>
      </w:r>
      <w:bookmarkEnd w:id="112"/>
    </w:p>
    <w:p w14:paraId="7E8C52C1">
      <w:pPr>
        <w:pStyle w:val="7"/>
        <w:rPr>
          <w:color w:val="auto"/>
          <w:highlight w:val="none"/>
        </w:rPr>
      </w:pPr>
      <w:r>
        <w:rPr>
          <w:color w:val="auto"/>
          <w:highlight w:val="none"/>
        </w:rPr>
        <w:t>维护服务方式</w:t>
      </w:r>
    </w:p>
    <w:p w14:paraId="6C2F4649">
      <w:pPr>
        <w:spacing w:line="360" w:lineRule="auto"/>
        <w:ind w:firstLine="420" w:firstLineChars="200"/>
        <w:rPr>
          <w:color w:val="auto"/>
          <w:highlight w:val="none"/>
        </w:rPr>
      </w:pPr>
      <w:r>
        <w:rPr>
          <w:rFonts w:hint="eastAsia"/>
          <w:color w:val="auto"/>
          <w:highlight w:val="none"/>
          <w:lang w:eastAsia="zh-CN"/>
        </w:rPr>
        <w:t>中标人</w:t>
      </w:r>
      <w:r>
        <w:rPr>
          <w:rFonts w:hint="eastAsia"/>
          <w:color w:val="auto"/>
          <w:highlight w:val="none"/>
        </w:rPr>
        <w:t>提供以下服务方式：</w:t>
      </w:r>
    </w:p>
    <w:p w14:paraId="2CA2DAD0">
      <w:pPr>
        <w:numPr>
          <w:ilvl w:val="0"/>
          <w:numId w:val="5"/>
        </w:numPr>
        <w:spacing w:line="360" w:lineRule="auto"/>
        <w:ind w:left="0"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电话支持服务</w:t>
      </w:r>
    </w:p>
    <w:p w14:paraId="24A8354D">
      <w:pPr>
        <w:numPr>
          <w:ilvl w:val="0"/>
          <w:numId w:val="5"/>
        </w:numPr>
        <w:spacing w:line="360" w:lineRule="auto"/>
        <w:ind w:left="0"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远程技术服务</w:t>
      </w:r>
      <w:r>
        <w:rPr>
          <w:rFonts w:asciiTheme="minorEastAsia" w:hAnsiTheme="minorEastAsia" w:eastAsiaTheme="minorEastAsia"/>
          <w:color w:val="auto"/>
          <w:highlight w:val="none"/>
        </w:rPr>
        <w:t xml:space="preserve"> </w:t>
      </w:r>
    </w:p>
    <w:p w14:paraId="734E7476">
      <w:pPr>
        <w:numPr>
          <w:ilvl w:val="0"/>
          <w:numId w:val="5"/>
        </w:numPr>
        <w:spacing w:line="360" w:lineRule="auto"/>
        <w:ind w:left="0"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现场维护运维服务</w:t>
      </w:r>
    </w:p>
    <w:p w14:paraId="0967004A">
      <w:pPr>
        <w:pStyle w:val="8"/>
        <w:rPr>
          <w:color w:val="auto"/>
          <w:highlight w:val="none"/>
        </w:rPr>
      </w:pPr>
      <w:r>
        <w:rPr>
          <w:rFonts w:hint="eastAsia"/>
          <w:color w:val="auto"/>
          <w:highlight w:val="none"/>
        </w:rPr>
        <w:t>电话响应</w:t>
      </w:r>
    </w:p>
    <w:p w14:paraId="551ED6C3">
      <w:pPr>
        <w:spacing w:line="360" w:lineRule="auto"/>
        <w:ind w:firstLine="420" w:firstLineChars="200"/>
        <w:rPr>
          <w:color w:val="auto"/>
          <w:highlight w:val="none"/>
        </w:rPr>
      </w:pPr>
      <w:r>
        <w:rPr>
          <w:rFonts w:hint="eastAsia"/>
          <w:color w:val="auto"/>
          <w:highlight w:val="none"/>
        </w:rPr>
        <w:t>当设备出现故障，招标人通过</w:t>
      </w:r>
      <w:r>
        <w:rPr>
          <w:rFonts w:hint="eastAsia"/>
          <w:color w:val="auto"/>
          <w:highlight w:val="none"/>
          <w:lang w:eastAsia="zh-CN"/>
        </w:rPr>
        <w:t>中标人</w:t>
      </w:r>
      <w:r>
        <w:rPr>
          <w:rFonts w:hint="eastAsia"/>
          <w:color w:val="auto"/>
          <w:highlight w:val="none"/>
        </w:rPr>
        <w:t>的值班响应电话（联系人：***，电话***********）进行报障。一、二级故障确保在30分钟内回复，三级故障将在两小时内进行回复。</w:t>
      </w:r>
    </w:p>
    <w:p w14:paraId="4A962F47">
      <w:pPr>
        <w:pStyle w:val="8"/>
        <w:rPr>
          <w:color w:val="auto"/>
          <w:highlight w:val="none"/>
        </w:rPr>
      </w:pPr>
      <w:r>
        <w:rPr>
          <w:rFonts w:hint="eastAsia"/>
          <w:color w:val="auto"/>
          <w:highlight w:val="none"/>
        </w:rPr>
        <w:t>远程支持服务</w:t>
      </w:r>
    </w:p>
    <w:p w14:paraId="7DC4D14A">
      <w:pPr>
        <w:spacing w:line="360" w:lineRule="auto"/>
        <w:ind w:firstLine="420" w:firstLineChars="200"/>
        <w:rPr>
          <w:color w:val="auto"/>
          <w:highlight w:val="none"/>
        </w:rPr>
      </w:pPr>
      <w:r>
        <w:rPr>
          <w:rFonts w:hint="eastAsia"/>
          <w:color w:val="auto"/>
          <w:highlight w:val="none"/>
        </w:rPr>
        <w:t>对于通过电话指导不能解决的故障，</w:t>
      </w:r>
      <w:r>
        <w:rPr>
          <w:rFonts w:hint="eastAsia"/>
          <w:color w:val="auto"/>
          <w:highlight w:val="none"/>
          <w:lang w:eastAsia="zh-CN"/>
        </w:rPr>
        <w:t>中标人</w:t>
      </w:r>
      <w:r>
        <w:rPr>
          <w:rFonts w:hint="eastAsia"/>
          <w:color w:val="auto"/>
          <w:highlight w:val="none"/>
        </w:rPr>
        <w:t>在征得保障人员同意后，通过远程支持手段，了解</w:t>
      </w:r>
      <w:r>
        <w:rPr>
          <w:rFonts w:hint="eastAsia"/>
          <w:color w:val="auto"/>
          <w:highlight w:val="none"/>
          <w:lang w:val="en-US" w:eastAsia="zh-CN"/>
        </w:rPr>
        <w:t>营业厅配套设备</w:t>
      </w:r>
      <w:r>
        <w:rPr>
          <w:rFonts w:hint="eastAsia"/>
          <w:color w:val="auto"/>
          <w:highlight w:val="none"/>
        </w:rPr>
        <w:t>故障情况，进行故障诊断，查找故障出现的原因，指导现场维护人员处理故障。</w:t>
      </w:r>
    </w:p>
    <w:p w14:paraId="40DE7A19">
      <w:pPr>
        <w:spacing w:line="360" w:lineRule="auto"/>
        <w:ind w:firstLine="420" w:firstLineChars="200"/>
        <w:rPr>
          <w:color w:val="auto"/>
          <w:highlight w:val="none"/>
        </w:rPr>
      </w:pPr>
      <w:r>
        <w:rPr>
          <w:rFonts w:hint="eastAsia"/>
          <w:color w:val="auto"/>
          <w:highlight w:val="none"/>
        </w:rPr>
        <w:t>要求：</w:t>
      </w:r>
    </w:p>
    <w:p w14:paraId="5D7CA393">
      <w:pPr>
        <w:spacing w:line="360" w:lineRule="auto"/>
        <w:ind w:firstLine="420" w:firstLineChars="200"/>
        <w:rPr>
          <w:color w:val="auto"/>
          <w:highlight w:val="none"/>
        </w:rPr>
      </w:pPr>
      <w:r>
        <w:rPr>
          <w:rFonts w:hint="eastAsia"/>
          <w:color w:val="auto"/>
          <w:highlight w:val="none"/>
        </w:rPr>
        <w:t>1、</w:t>
      </w:r>
      <w:r>
        <w:rPr>
          <w:rFonts w:hint="eastAsia"/>
          <w:color w:val="auto"/>
          <w:highlight w:val="none"/>
          <w:lang w:eastAsia="zh-CN"/>
        </w:rPr>
        <w:t>中标人</w:t>
      </w:r>
      <w:r>
        <w:rPr>
          <w:rFonts w:hint="eastAsia"/>
          <w:color w:val="auto"/>
          <w:highlight w:val="none"/>
        </w:rPr>
        <w:t>服务人员询问</w:t>
      </w:r>
      <w:r>
        <w:rPr>
          <w:rFonts w:hint="eastAsia"/>
          <w:color w:val="auto"/>
          <w:highlight w:val="none"/>
          <w:lang w:val="en-US" w:eastAsia="zh-CN"/>
        </w:rPr>
        <w:t>营业厅配套设备</w:t>
      </w:r>
      <w:r>
        <w:rPr>
          <w:rFonts w:hint="eastAsia"/>
          <w:color w:val="auto"/>
          <w:highlight w:val="none"/>
        </w:rPr>
        <w:t xml:space="preserve">故障情况，通过诊断，分析故障产生的原因，并技术指导营业厅工作人员对故障进行处理，处理完成后电话回复营业厅故障申告人员，并通过一系列测试确认故障成功处理，如远程无法处理的马上安排运维人员到达现场。 </w:t>
      </w:r>
    </w:p>
    <w:p w14:paraId="6AB91666">
      <w:pPr>
        <w:spacing w:line="360" w:lineRule="auto"/>
        <w:ind w:firstLine="420" w:firstLineChars="200"/>
        <w:rPr>
          <w:color w:val="auto"/>
          <w:highlight w:val="none"/>
        </w:rPr>
      </w:pPr>
      <w:r>
        <w:rPr>
          <w:rFonts w:hint="eastAsia"/>
          <w:color w:val="auto"/>
          <w:highlight w:val="none"/>
        </w:rPr>
        <w:t>2、对于不同级别的故障，远程支持服务的响应时限要求见下表。</w:t>
      </w:r>
    </w:p>
    <w:p w14:paraId="3F6D8691">
      <w:pPr>
        <w:spacing w:line="360" w:lineRule="auto"/>
        <w:jc w:val="center"/>
        <w:rPr>
          <w:rFonts w:ascii="Calibri" w:hAnsi="宋体"/>
          <w:b/>
          <w:color w:val="auto"/>
          <w:szCs w:val="21"/>
          <w:highlight w:val="none"/>
          <w:u w:val="single"/>
        </w:rPr>
      </w:pPr>
      <w:r>
        <w:rPr>
          <w:rFonts w:hint="eastAsia" w:ascii="宋体" w:hAnsi="宋体"/>
          <w:b/>
          <w:color w:val="auto"/>
          <w:szCs w:val="21"/>
          <w:highlight w:val="none"/>
          <w:u w:val="single"/>
        </w:rPr>
        <w:t>远程支持响应时间表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780"/>
        <w:gridCol w:w="1800"/>
      </w:tblGrid>
      <w:tr w14:paraId="2E12D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vAlign w:val="center"/>
          </w:tcPr>
          <w:p w14:paraId="18925B1F">
            <w:pPr>
              <w:tabs>
                <w:tab w:val="left" w:pos="1365"/>
              </w:tabs>
              <w:spacing w:line="360" w:lineRule="auto"/>
              <w:jc w:val="center"/>
              <w:rPr>
                <w:rFonts w:ascii="宋体" w:hAnsi="宋体"/>
                <w:color w:val="auto"/>
                <w:szCs w:val="21"/>
                <w:highlight w:val="none"/>
              </w:rPr>
            </w:pPr>
            <w:r>
              <w:rPr>
                <w:rFonts w:hint="eastAsia" w:ascii="宋体" w:hAnsi="宋体"/>
                <w:color w:val="auto"/>
                <w:szCs w:val="21"/>
                <w:highlight w:val="none"/>
              </w:rPr>
              <w:t>故障级别</w:t>
            </w:r>
          </w:p>
        </w:tc>
        <w:tc>
          <w:tcPr>
            <w:tcW w:w="3780" w:type="dxa"/>
            <w:vAlign w:val="center"/>
          </w:tcPr>
          <w:p w14:paraId="60455B12">
            <w:pPr>
              <w:tabs>
                <w:tab w:val="left" w:pos="1365"/>
              </w:tabs>
              <w:spacing w:line="360" w:lineRule="auto"/>
              <w:jc w:val="center"/>
              <w:rPr>
                <w:rFonts w:ascii="宋体" w:hAnsi="宋体"/>
                <w:color w:val="auto"/>
                <w:szCs w:val="21"/>
                <w:highlight w:val="none"/>
              </w:rPr>
            </w:pPr>
            <w:r>
              <w:rPr>
                <w:rFonts w:hint="eastAsia" w:ascii="宋体" w:hAnsi="宋体"/>
                <w:color w:val="auto"/>
                <w:szCs w:val="21"/>
                <w:highlight w:val="none"/>
              </w:rPr>
              <w:t>故障描述</w:t>
            </w:r>
          </w:p>
        </w:tc>
        <w:tc>
          <w:tcPr>
            <w:tcW w:w="1800" w:type="dxa"/>
            <w:vAlign w:val="center"/>
          </w:tcPr>
          <w:p w14:paraId="6B411DB4">
            <w:pPr>
              <w:tabs>
                <w:tab w:val="left" w:pos="1365"/>
              </w:tabs>
              <w:spacing w:line="360" w:lineRule="auto"/>
              <w:jc w:val="center"/>
              <w:rPr>
                <w:rFonts w:ascii="宋体" w:hAnsi="宋体"/>
                <w:color w:val="auto"/>
                <w:szCs w:val="21"/>
                <w:highlight w:val="none"/>
              </w:rPr>
            </w:pPr>
            <w:r>
              <w:rPr>
                <w:rFonts w:hint="eastAsia" w:ascii="宋体" w:hAnsi="宋体"/>
                <w:color w:val="auto"/>
                <w:szCs w:val="21"/>
                <w:highlight w:val="none"/>
              </w:rPr>
              <w:t>初步判断时限</w:t>
            </w:r>
          </w:p>
        </w:tc>
      </w:tr>
      <w:tr w14:paraId="15756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vAlign w:val="center"/>
          </w:tcPr>
          <w:p w14:paraId="7B5C373E">
            <w:pPr>
              <w:tabs>
                <w:tab w:val="left" w:pos="1365"/>
              </w:tabs>
              <w:spacing w:line="360" w:lineRule="auto"/>
              <w:jc w:val="center"/>
              <w:rPr>
                <w:rFonts w:ascii="宋体" w:hAnsi="宋体"/>
                <w:color w:val="auto"/>
                <w:szCs w:val="21"/>
                <w:highlight w:val="none"/>
              </w:rPr>
            </w:pPr>
            <w:r>
              <w:rPr>
                <w:rFonts w:hint="eastAsia" w:ascii="宋体" w:hAnsi="宋体"/>
                <w:color w:val="auto"/>
                <w:szCs w:val="21"/>
                <w:highlight w:val="none"/>
              </w:rPr>
              <w:t>一级故障</w:t>
            </w:r>
          </w:p>
        </w:tc>
        <w:tc>
          <w:tcPr>
            <w:tcW w:w="3780" w:type="dxa"/>
            <w:vAlign w:val="center"/>
          </w:tcPr>
          <w:p w14:paraId="691D7202">
            <w:pPr>
              <w:tabs>
                <w:tab w:val="left" w:pos="1365"/>
              </w:tabs>
              <w:spacing w:line="360" w:lineRule="auto"/>
              <w:jc w:val="center"/>
              <w:rPr>
                <w:rFonts w:ascii="宋体" w:hAnsi="宋体"/>
                <w:color w:val="auto"/>
                <w:szCs w:val="21"/>
                <w:highlight w:val="none"/>
              </w:rPr>
            </w:pPr>
            <w:r>
              <w:rPr>
                <w:rFonts w:hint="eastAsia"/>
                <w:color w:val="auto"/>
                <w:highlight w:val="none"/>
                <w:lang w:val="en-US" w:eastAsia="zh-CN"/>
              </w:rPr>
              <w:t>营业厅配套设备</w:t>
            </w:r>
            <w:r>
              <w:rPr>
                <w:rFonts w:hint="eastAsia" w:ascii="宋体" w:hAnsi="宋体"/>
                <w:color w:val="auto"/>
                <w:szCs w:val="21"/>
                <w:highlight w:val="none"/>
              </w:rPr>
              <w:t>无法启动</w:t>
            </w:r>
          </w:p>
        </w:tc>
        <w:tc>
          <w:tcPr>
            <w:tcW w:w="1800" w:type="dxa"/>
            <w:vAlign w:val="center"/>
          </w:tcPr>
          <w:p w14:paraId="7B3B968F">
            <w:pPr>
              <w:tabs>
                <w:tab w:val="left" w:pos="1365"/>
              </w:tabs>
              <w:spacing w:line="360" w:lineRule="auto"/>
              <w:jc w:val="center"/>
              <w:rPr>
                <w:rFonts w:ascii="宋体" w:hAnsi="宋体"/>
                <w:color w:val="auto"/>
                <w:szCs w:val="21"/>
                <w:highlight w:val="none"/>
              </w:rPr>
            </w:pPr>
            <w:r>
              <w:rPr>
                <w:rFonts w:hint="eastAsia" w:ascii="宋体" w:hAnsi="宋体"/>
                <w:color w:val="auto"/>
                <w:szCs w:val="21"/>
                <w:highlight w:val="none"/>
              </w:rPr>
              <w:t>小于30分钟</w:t>
            </w:r>
          </w:p>
        </w:tc>
      </w:tr>
      <w:tr w14:paraId="655C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vAlign w:val="center"/>
          </w:tcPr>
          <w:p w14:paraId="55A6761F">
            <w:pPr>
              <w:tabs>
                <w:tab w:val="left" w:pos="1365"/>
              </w:tabs>
              <w:spacing w:line="360" w:lineRule="auto"/>
              <w:jc w:val="center"/>
              <w:rPr>
                <w:rFonts w:ascii="宋体" w:hAnsi="宋体"/>
                <w:color w:val="auto"/>
                <w:szCs w:val="21"/>
                <w:highlight w:val="none"/>
              </w:rPr>
            </w:pPr>
            <w:r>
              <w:rPr>
                <w:rFonts w:hint="eastAsia" w:ascii="宋体" w:hAnsi="宋体"/>
                <w:color w:val="auto"/>
                <w:szCs w:val="21"/>
                <w:highlight w:val="none"/>
              </w:rPr>
              <w:t>二级故障</w:t>
            </w:r>
          </w:p>
        </w:tc>
        <w:tc>
          <w:tcPr>
            <w:tcW w:w="3780" w:type="dxa"/>
            <w:vAlign w:val="center"/>
          </w:tcPr>
          <w:p w14:paraId="339FE87C">
            <w:pPr>
              <w:tabs>
                <w:tab w:val="left" w:pos="1365"/>
              </w:tabs>
              <w:spacing w:line="360" w:lineRule="auto"/>
              <w:jc w:val="center"/>
              <w:rPr>
                <w:rFonts w:ascii="宋体" w:hAnsi="宋体"/>
                <w:color w:val="auto"/>
                <w:szCs w:val="21"/>
                <w:highlight w:val="none"/>
              </w:rPr>
            </w:pPr>
            <w:r>
              <w:rPr>
                <w:rFonts w:hint="eastAsia"/>
                <w:color w:val="auto"/>
                <w:highlight w:val="none"/>
                <w:lang w:val="en-US" w:eastAsia="zh-CN"/>
              </w:rPr>
              <w:t>营业厅配套设备</w:t>
            </w:r>
            <w:r>
              <w:rPr>
                <w:rFonts w:hint="eastAsia" w:ascii="宋体" w:hAnsi="宋体"/>
                <w:color w:val="auto"/>
                <w:szCs w:val="21"/>
                <w:highlight w:val="none"/>
              </w:rPr>
              <w:t>某一项功能使用不正常</w:t>
            </w:r>
          </w:p>
        </w:tc>
        <w:tc>
          <w:tcPr>
            <w:tcW w:w="1800" w:type="dxa"/>
            <w:vAlign w:val="center"/>
          </w:tcPr>
          <w:p w14:paraId="5E1B3C53">
            <w:pPr>
              <w:tabs>
                <w:tab w:val="left" w:pos="1365"/>
              </w:tabs>
              <w:spacing w:line="360" w:lineRule="auto"/>
              <w:jc w:val="center"/>
              <w:rPr>
                <w:rFonts w:ascii="宋体" w:hAnsi="宋体"/>
                <w:color w:val="auto"/>
                <w:szCs w:val="21"/>
                <w:highlight w:val="none"/>
              </w:rPr>
            </w:pPr>
            <w:r>
              <w:rPr>
                <w:rFonts w:hint="eastAsia" w:ascii="宋体" w:hAnsi="宋体"/>
                <w:color w:val="auto"/>
                <w:szCs w:val="21"/>
                <w:highlight w:val="none"/>
              </w:rPr>
              <w:t>小于30分钟</w:t>
            </w:r>
          </w:p>
        </w:tc>
      </w:tr>
      <w:tr w14:paraId="175E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vAlign w:val="center"/>
          </w:tcPr>
          <w:p w14:paraId="56A1198E">
            <w:pPr>
              <w:tabs>
                <w:tab w:val="left" w:pos="1365"/>
              </w:tabs>
              <w:spacing w:line="360" w:lineRule="auto"/>
              <w:jc w:val="center"/>
              <w:rPr>
                <w:rFonts w:ascii="宋体" w:hAnsi="宋体"/>
                <w:color w:val="auto"/>
                <w:szCs w:val="21"/>
                <w:highlight w:val="none"/>
              </w:rPr>
            </w:pPr>
            <w:r>
              <w:rPr>
                <w:rFonts w:hint="eastAsia" w:ascii="宋体" w:hAnsi="宋体"/>
                <w:color w:val="auto"/>
                <w:szCs w:val="21"/>
                <w:highlight w:val="none"/>
              </w:rPr>
              <w:t>三级故障</w:t>
            </w:r>
          </w:p>
        </w:tc>
        <w:tc>
          <w:tcPr>
            <w:tcW w:w="3780" w:type="dxa"/>
            <w:vAlign w:val="center"/>
          </w:tcPr>
          <w:p w14:paraId="403F4912">
            <w:pPr>
              <w:tabs>
                <w:tab w:val="left" w:pos="1365"/>
              </w:tabs>
              <w:spacing w:line="360" w:lineRule="auto"/>
              <w:jc w:val="center"/>
              <w:rPr>
                <w:rFonts w:ascii="宋体" w:hAnsi="宋体"/>
                <w:color w:val="auto"/>
                <w:szCs w:val="21"/>
                <w:highlight w:val="none"/>
              </w:rPr>
            </w:pPr>
            <w:r>
              <w:rPr>
                <w:rFonts w:hint="eastAsia"/>
                <w:color w:val="auto"/>
                <w:highlight w:val="none"/>
                <w:lang w:val="en-US" w:eastAsia="zh-CN"/>
              </w:rPr>
              <w:t>营业厅配套设备</w:t>
            </w:r>
            <w:r>
              <w:rPr>
                <w:rFonts w:hint="eastAsia" w:ascii="宋体" w:hAnsi="宋体"/>
                <w:color w:val="auto"/>
                <w:szCs w:val="21"/>
                <w:highlight w:val="none"/>
              </w:rPr>
              <w:t>日志分析</w:t>
            </w:r>
          </w:p>
        </w:tc>
        <w:tc>
          <w:tcPr>
            <w:tcW w:w="1800" w:type="dxa"/>
            <w:vAlign w:val="center"/>
          </w:tcPr>
          <w:p w14:paraId="69C70F8A">
            <w:pPr>
              <w:tabs>
                <w:tab w:val="left" w:pos="1365"/>
              </w:tabs>
              <w:spacing w:line="360" w:lineRule="auto"/>
              <w:jc w:val="center"/>
              <w:rPr>
                <w:rFonts w:ascii="宋体" w:hAnsi="宋体"/>
                <w:color w:val="auto"/>
                <w:szCs w:val="21"/>
                <w:highlight w:val="none"/>
              </w:rPr>
            </w:pPr>
            <w:r>
              <w:rPr>
                <w:rFonts w:hint="eastAsia" w:ascii="宋体" w:hAnsi="宋体"/>
                <w:color w:val="auto"/>
                <w:szCs w:val="21"/>
                <w:highlight w:val="none"/>
              </w:rPr>
              <w:t>小于2小时</w:t>
            </w:r>
          </w:p>
        </w:tc>
      </w:tr>
    </w:tbl>
    <w:p w14:paraId="310E2697">
      <w:pPr>
        <w:pStyle w:val="8"/>
        <w:tabs>
          <w:tab w:val="left" w:pos="720"/>
        </w:tabs>
        <w:ind w:left="720" w:hanging="720"/>
        <w:rPr>
          <w:color w:val="auto"/>
          <w:highlight w:val="none"/>
        </w:rPr>
      </w:pPr>
      <w:r>
        <w:rPr>
          <w:rFonts w:hint="eastAsia"/>
          <w:color w:val="auto"/>
          <w:highlight w:val="none"/>
        </w:rPr>
        <w:t>现场服务</w:t>
      </w:r>
    </w:p>
    <w:p w14:paraId="2CEE839D">
      <w:pPr>
        <w:spacing w:line="360" w:lineRule="auto"/>
        <w:ind w:firstLine="420" w:firstLineChars="200"/>
        <w:rPr>
          <w:color w:val="auto"/>
          <w:highlight w:val="none"/>
        </w:rPr>
      </w:pPr>
      <w:r>
        <w:rPr>
          <w:rFonts w:hint="eastAsia"/>
          <w:color w:val="auto"/>
          <w:highlight w:val="none"/>
        </w:rPr>
        <w:t>对于通过电话支持和远程支持都不能解决的</w:t>
      </w:r>
      <w:r>
        <w:rPr>
          <w:rFonts w:hint="eastAsia"/>
          <w:color w:val="auto"/>
          <w:highlight w:val="none"/>
          <w:lang w:val="en-US" w:eastAsia="zh-CN"/>
        </w:rPr>
        <w:t>营业厅配套设备</w:t>
      </w:r>
      <w:r>
        <w:rPr>
          <w:rFonts w:hint="eastAsia"/>
          <w:color w:val="auto"/>
          <w:highlight w:val="none"/>
        </w:rPr>
        <w:t>故障，</w:t>
      </w:r>
      <w:r>
        <w:rPr>
          <w:rFonts w:hint="eastAsia"/>
          <w:color w:val="auto"/>
          <w:highlight w:val="none"/>
          <w:lang w:eastAsia="zh-CN"/>
        </w:rPr>
        <w:t>中标人</w:t>
      </w:r>
      <w:r>
        <w:rPr>
          <w:rFonts w:hint="eastAsia"/>
          <w:color w:val="auto"/>
          <w:highlight w:val="none"/>
        </w:rPr>
        <w:t>迅速提供现场支持服务，安排经验丰富的技术支持工程师赴现场分析故障原因，制定故障解决方案，并最终排除故障。</w:t>
      </w:r>
    </w:p>
    <w:p w14:paraId="5E9E831A">
      <w:pPr>
        <w:spacing w:line="360" w:lineRule="auto"/>
        <w:ind w:firstLine="420" w:firstLineChars="200"/>
        <w:rPr>
          <w:color w:val="auto"/>
          <w:highlight w:val="none"/>
        </w:rPr>
      </w:pPr>
      <w:r>
        <w:rPr>
          <w:rFonts w:hint="eastAsia"/>
          <w:color w:val="auto"/>
          <w:highlight w:val="none"/>
        </w:rPr>
        <w:t>（1）</w:t>
      </w:r>
      <w:r>
        <w:rPr>
          <w:rFonts w:hint="eastAsia"/>
          <w:color w:val="auto"/>
          <w:highlight w:val="none"/>
          <w:lang w:eastAsia="zh-CN"/>
        </w:rPr>
        <w:t>中标人</w:t>
      </w:r>
      <w:r>
        <w:rPr>
          <w:rFonts w:hint="eastAsia"/>
          <w:color w:val="auto"/>
          <w:highlight w:val="none"/>
        </w:rPr>
        <w:t>服务人员在进行现场支持服务前作好以下准备：</w:t>
      </w:r>
    </w:p>
    <w:p w14:paraId="42876944">
      <w:pPr>
        <w:spacing w:line="360" w:lineRule="auto"/>
        <w:ind w:firstLine="420" w:firstLineChars="200"/>
        <w:rPr>
          <w:color w:val="auto"/>
          <w:highlight w:val="none"/>
        </w:rPr>
      </w:pPr>
      <w:r>
        <w:rPr>
          <w:color w:val="auto"/>
          <w:highlight w:val="none"/>
        </w:rPr>
        <w:t>a</w:t>
      </w:r>
      <w:r>
        <w:rPr>
          <w:rFonts w:hint="eastAsia"/>
          <w:color w:val="auto"/>
          <w:highlight w:val="none"/>
        </w:rPr>
        <w:t>、查阅招标人用户档案，了解</w:t>
      </w:r>
      <w:r>
        <w:rPr>
          <w:rFonts w:hint="eastAsia"/>
          <w:color w:val="auto"/>
          <w:highlight w:val="none"/>
          <w:lang w:val="en-US" w:eastAsia="zh-CN"/>
        </w:rPr>
        <w:t>营业厅配套设备</w:t>
      </w:r>
      <w:r>
        <w:rPr>
          <w:rFonts w:hint="eastAsia"/>
          <w:color w:val="auto"/>
          <w:highlight w:val="none"/>
        </w:rPr>
        <w:t>运行情况</w:t>
      </w:r>
      <w:r>
        <w:rPr>
          <w:rFonts w:hint="eastAsia"/>
          <w:color w:val="auto"/>
          <w:highlight w:val="none"/>
          <w:lang w:eastAsia="zh-CN"/>
        </w:rPr>
        <w:t>和</w:t>
      </w:r>
      <w:r>
        <w:rPr>
          <w:rFonts w:hint="eastAsia"/>
          <w:color w:val="auto"/>
          <w:highlight w:val="none"/>
        </w:rPr>
        <w:t>以往所发生过的问题及处理办法；</w:t>
      </w:r>
    </w:p>
    <w:p w14:paraId="40DBC28B">
      <w:pPr>
        <w:spacing w:line="360" w:lineRule="auto"/>
        <w:ind w:firstLine="420" w:firstLineChars="200"/>
        <w:rPr>
          <w:color w:val="auto"/>
          <w:highlight w:val="none"/>
        </w:rPr>
      </w:pPr>
      <w:r>
        <w:rPr>
          <w:rFonts w:hint="eastAsia"/>
          <w:color w:val="auto"/>
          <w:highlight w:val="none"/>
        </w:rPr>
        <w:t>b、准备技术服务工具、技术服务资料、交通工具、必要的备品备件及软件。</w:t>
      </w:r>
    </w:p>
    <w:p w14:paraId="4F60B7C5">
      <w:pPr>
        <w:spacing w:line="360" w:lineRule="auto"/>
        <w:ind w:firstLine="420" w:firstLineChars="200"/>
        <w:rPr>
          <w:color w:val="auto"/>
          <w:highlight w:val="none"/>
        </w:rPr>
      </w:pPr>
      <w:r>
        <w:rPr>
          <w:rFonts w:hint="eastAsia"/>
          <w:color w:val="auto"/>
          <w:highlight w:val="none"/>
        </w:rPr>
        <w:t>（2）</w:t>
      </w:r>
      <w:r>
        <w:rPr>
          <w:rFonts w:hint="eastAsia"/>
          <w:color w:val="auto"/>
          <w:highlight w:val="none"/>
          <w:lang w:val="en-US" w:eastAsia="zh-CN"/>
        </w:rPr>
        <w:t>投标方</w:t>
      </w:r>
      <w:r>
        <w:rPr>
          <w:rFonts w:hint="eastAsia" w:ascii="宋体" w:hAnsi="宋体" w:eastAsia="宋体" w:cs="宋体"/>
          <w:color w:val="auto"/>
          <w:highlight w:val="none"/>
        </w:rPr>
        <w:t>服务人员在</w:t>
      </w:r>
      <w:r>
        <w:rPr>
          <w:rFonts w:hint="eastAsia" w:ascii="宋体" w:hAnsi="宋体" w:cs="宋体"/>
          <w:color w:val="auto"/>
          <w:highlight w:val="none"/>
          <w:lang w:val="en-US" w:eastAsia="zh-CN"/>
        </w:rPr>
        <w:t>招标方所属</w:t>
      </w:r>
      <w:r>
        <w:rPr>
          <w:rFonts w:hint="eastAsia" w:ascii="宋体" w:hAnsi="宋体" w:eastAsia="宋体" w:cs="宋体"/>
          <w:color w:val="auto"/>
          <w:highlight w:val="none"/>
          <w:lang w:val="en-US" w:eastAsia="zh-CN"/>
        </w:rPr>
        <w:t>营业厅约定具体服务时间，并在约定时间内</w:t>
      </w:r>
      <w:r>
        <w:rPr>
          <w:rFonts w:hint="eastAsia" w:ascii="宋体" w:hAnsi="宋体" w:eastAsia="宋体" w:cs="宋体"/>
          <w:color w:val="auto"/>
          <w:highlight w:val="none"/>
        </w:rPr>
        <w:t>抵达</w:t>
      </w:r>
      <w:r>
        <w:rPr>
          <w:rFonts w:hint="eastAsia" w:ascii="宋体" w:hAnsi="宋体" w:cs="宋体"/>
          <w:color w:val="auto"/>
          <w:highlight w:val="none"/>
          <w:lang w:val="en-US" w:eastAsia="zh-CN"/>
        </w:rPr>
        <w:t>招标方</w:t>
      </w:r>
      <w:r>
        <w:rPr>
          <w:rFonts w:hint="eastAsia" w:ascii="宋体" w:hAnsi="宋体" w:eastAsia="宋体" w:cs="宋体"/>
          <w:color w:val="auto"/>
          <w:highlight w:val="none"/>
        </w:rPr>
        <w:t>营业厅现场</w:t>
      </w:r>
      <w:r>
        <w:rPr>
          <w:rFonts w:hint="eastAsia"/>
          <w:color w:val="auto"/>
          <w:highlight w:val="none"/>
        </w:rPr>
        <w:t>。</w:t>
      </w:r>
    </w:p>
    <w:p w14:paraId="057C6C40">
      <w:pPr>
        <w:spacing w:line="360" w:lineRule="auto"/>
        <w:ind w:firstLine="420" w:firstLineChars="200"/>
        <w:rPr>
          <w:color w:val="auto"/>
          <w:highlight w:val="none"/>
        </w:rPr>
      </w:pPr>
      <w:r>
        <w:rPr>
          <w:rFonts w:hint="eastAsia"/>
          <w:color w:val="auto"/>
          <w:highlight w:val="none"/>
        </w:rPr>
        <w:t>（3）</w:t>
      </w:r>
      <w:r>
        <w:rPr>
          <w:rFonts w:hint="eastAsia"/>
          <w:color w:val="auto"/>
          <w:highlight w:val="none"/>
          <w:lang w:eastAsia="zh-CN"/>
        </w:rPr>
        <w:t>中标人</w:t>
      </w:r>
      <w:r>
        <w:rPr>
          <w:rFonts w:hint="eastAsia"/>
          <w:color w:val="auto"/>
          <w:highlight w:val="none"/>
        </w:rPr>
        <w:t>了解</w:t>
      </w:r>
      <w:r>
        <w:rPr>
          <w:rFonts w:hint="eastAsia"/>
          <w:color w:val="auto"/>
          <w:highlight w:val="none"/>
          <w:lang w:val="en-US" w:eastAsia="zh-CN"/>
        </w:rPr>
        <w:t>营业厅配套设备</w:t>
      </w:r>
      <w:r>
        <w:rPr>
          <w:rFonts w:hint="eastAsia"/>
          <w:color w:val="auto"/>
          <w:highlight w:val="none"/>
        </w:rPr>
        <w:t>运行情况，核实故障现象，并根据故障现象对</w:t>
      </w:r>
      <w:r>
        <w:rPr>
          <w:rFonts w:hint="eastAsia"/>
          <w:color w:val="auto"/>
          <w:highlight w:val="none"/>
          <w:lang w:val="en-US" w:eastAsia="zh-CN"/>
        </w:rPr>
        <w:t>营业厅配套设备</w:t>
      </w:r>
      <w:r>
        <w:rPr>
          <w:rFonts w:hint="eastAsia"/>
          <w:color w:val="auto"/>
          <w:highlight w:val="none"/>
        </w:rPr>
        <w:t>进行故障分析、测试、诊断，并制定业务恢复和故障解决技术方案。</w:t>
      </w:r>
      <w:r>
        <w:rPr>
          <w:rFonts w:hint="eastAsia"/>
          <w:color w:val="auto"/>
          <w:highlight w:val="none"/>
          <w:lang w:eastAsia="zh-CN"/>
        </w:rPr>
        <w:t>中标人</w:t>
      </w:r>
      <w:r>
        <w:rPr>
          <w:rFonts w:hint="eastAsia"/>
          <w:color w:val="auto"/>
          <w:highlight w:val="none"/>
        </w:rPr>
        <w:t>保证优先实施业务恢复，在恢复业务的前提下，再进行彻底的故障修复。维护后</w:t>
      </w:r>
      <w:r>
        <w:rPr>
          <w:rFonts w:hint="eastAsia"/>
          <w:color w:val="auto"/>
          <w:highlight w:val="none"/>
          <w:lang w:val="en-US" w:eastAsia="zh-CN"/>
        </w:rPr>
        <w:t>营业厅配套设备</w:t>
      </w:r>
      <w:r>
        <w:rPr>
          <w:rFonts w:hint="eastAsia"/>
          <w:color w:val="auto"/>
          <w:highlight w:val="none"/>
        </w:rPr>
        <w:t>的外观需要恢复原貌。</w:t>
      </w:r>
    </w:p>
    <w:p w14:paraId="30606875">
      <w:pPr>
        <w:spacing w:line="360" w:lineRule="auto"/>
        <w:ind w:firstLine="420" w:firstLineChars="200"/>
        <w:rPr>
          <w:color w:val="auto"/>
          <w:highlight w:val="none"/>
        </w:rPr>
      </w:pPr>
      <w:r>
        <w:rPr>
          <w:rFonts w:hint="eastAsia"/>
          <w:color w:val="auto"/>
          <w:highlight w:val="none"/>
        </w:rPr>
        <w:t>（4）</w:t>
      </w:r>
      <w:r>
        <w:rPr>
          <w:rFonts w:hint="eastAsia"/>
          <w:color w:val="auto"/>
          <w:highlight w:val="none"/>
          <w:lang w:eastAsia="zh-CN"/>
        </w:rPr>
        <w:t>中标人</w:t>
      </w:r>
      <w:r>
        <w:rPr>
          <w:rFonts w:hint="eastAsia"/>
          <w:color w:val="auto"/>
          <w:highlight w:val="none"/>
        </w:rPr>
        <w:t>服务人员在处理故障时不影响到其它</w:t>
      </w:r>
      <w:r>
        <w:rPr>
          <w:rFonts w:hint="eastAsia"/>
          <w:color w:val="auto"/>
          <w:highlight w:val="none"/>
          <w:lang w:val="en-US" w:eastAsia="zh-CN"/>
        </w:rPr>
        <w:t>营业厅配套设备</w:t>
      </w:r>
      <w:r>
        <w:rPr>
          <w:rFonts w:hint="eastAsia"/>
          <w:color w:val="auto"/>
          <w:highlight w:val="none"/>
        </w:rPr>
        <w:t>的正常运行，若因</w:t>
      </w:r>
      <w:r>
        <w:rPr>
          <w:rFonts w:hint="eastAsia"/>
          <w:color w:val="auto"/>
          <w:highlight w:val="none"/>
          <w:lang w:eastAsia="zh-CN"/>
        </w:rPr>
        <w:t>中标人</w:t>
      </w:r>
      <w:r>
        <w:rPr>
          <w:rFonts w:hint="eastAsia"/>
          <w:color w:val="auto"/>
          <w:highlight w:val="none"/>
        </w:rPr>
        <w:t>服务人员误操作或擅自行事等主观原因给招标人带来损失的，招标人有权向</w:t>
      </w:r>
      <w:r>
        <w:rPr>
          <w:rFonts w:hint="eastAsia"/>
          <w:color w:val="auto"/>
          <w:highlight w:val="none"/>
          <w:lang w:eastAsia="zh-CN"/>
        </w:rPr>
        <w:t>中标人</w:t>
      </w:r>
      <w:r>
        <w:rPr>
          <w:rFonts w:hint="eastAsia"/>
          <w:color w:val="auto"/>
          <w:highlight w:val="none"/>
        </w:rPr>
        <w:t>提出索赔。</w:t>
      </w:r>
    </w:p>
    <w:p w14:paraId="6D46EDEA">
      <w:pPr>
        <w:spacing w:line="360" w:lineRule="auto"/>
        <w:ind w:firstLine="420" w:firstLineChars="200"/>
        <w:rPr>
          <w:color w:val="auto"/>
          <w:highlight w:val="none"/>
        </w:rPr>
      </w:pPr>
      <w:r>
        <w:rPr>
          <w:rFonts w:hint="eastAsia"/>
          <w:color w:val="auto"/>
          <w:highlight w:val="none"/>
        </w:rPr>
        <w:t>（5）</w:t>
      </w:r>
      <w:r>
        <w:rPr>
          <w:rFonts w:hint="eastAsia"/>
          <w:color w:val="auto"/>
          <w:highlight w:val="none"/>
          <w:lang w:eastAsia="zh-CN"/>
        </w:rPr>
        <w:t>中标人</w:t>
      </w:r>
      <w:r>
        <w:rPr>
          <w:rFonts w:hint="eastAsia"/>
          <w:color w:val="auto"/>
          <w:highlight w:val="none"/>
        </w:rPr>
        <w:t>服务人员在处理故障后，要向营业厅工作人员解释故障原因和解决方法，以及在日常维护中的预防措施。</w:t>
      </w:r>
    </w:p>
    <w:p w14:paraId="446DDAA2">
      <w:pPr>
        <w:spacing w:line="360" w:lineRule="auto"/>
        <w:ind w:firstLine="420" w:firstLineChars="200"/>
        <w:rPr>
          <w:color w:val="auto"/>
          <w:highlight w:val="none"/>
        </w:rPr>
      </w:pPr>
      <w:r>
        <w:rPr>
          <w:rFonts w:hint="eastAsia"/>
          <w:color w:val="auto"/>
          <w:highlight w:val="none"/>
        </w:rPr>
        <w:t>（6）</w:t>
      </w:r>
      <w:r>
        <w:rPr>
          <w:rFonts w:hint="eastAsia"/>
          <w:color w:val="auto"/>
          <w:highlight w:val="none"/>
          <w:lang w:eastAsia="zh-CN"/>
        </w:rPr>
        <w:t>中标人</w:t>
      </w:r>
      <w:r>
        <w:rPr>
          <w:rFonts w:hint="eastAsia"/>
          <w:color w:val="auto"/>
          <w:highlight w:val="none"/>
        </w:rPr>
        <w:t>服务人员在故障处理完成后，提供《故障处理单》交由营业厅</w:t>
      </w:r>
      <w:r>
        <w:rPr>
          <w:rFonts w:hint="eastAsia"/>
          <w:color w:val="auto"/>
          <w:highlight w:val="none"/>
          <w:lang w:eastAsia="zh-CN"/>
        </w:rPr>
        <w:t>负责人</w:t>
      </w:r>
      <w:r>
        <w:rPr>
          <w:rFonts w:hint="eastAsia"/>
          <w:color w:val="auto"/>
          <w:highlight w:val="none"/>
        </w:rPr>
        <w:t>签名确认。</w:t>
      </w:r>
    </w:p>
    <w:p w14:paraId="73F7C98F">
      <w:pPr>
        <w:pStyle w:val="8"/>
        <w:tabs>
          <w:tab w:val="left" w:pos="720"/>
        </w:tabs>
        <w:ind w:left="720" w:hanging="720"/>
        <w:rPr>
          <w:color w:val="auto"/>
          <w:highlight w:val="none"/>
        </w:rPr>
      </w:pPr>
      <w:r>
        <w:rPr>
          <w:rFonts w:hint="eastAsia"/>
          <w:color w:val="auto"/>
          <w:highlight w:val="none"/>
        </w:rPr>
        <w:t>服务报告</w:t>
      </w:r>
    </w:p>
    <w:p w14:paraId="2A123410">
      <w:pPr>
        <w:spacing w:line="360" w:lineRule="auto"/>
        <w:ind w:firstLine="420" w:firstLineChars="200"/>
        <w:rPr>
          <w:color w:val="auto"/>
          <w:highlight w:val="none"/>
        </w:rPr>
      </w:pPr>
      <w:r>
        <w:rPr>
          <w:rFonts w:hint="eastAsia"/>
          <w:color w:val="auto"/>
          <w:highlight w:val="none"/>
        </w:rPr>
        <w:t>维保合同生效后，</w:t>
      </w:r>
      <w:r>
        <w:rPr>
          <w:rFonts w:hint="eastAsia"/>
          <w:color w:val="auto"/>
          <w:highlight w:val="none"/>
          <w:lang w:eastAsia="zh-CN"/>
        </w:rPr>
        <w:t>中标人</w:t>
      </w:r>
      <w:r>
        <w:rPr>
          <w:rFonts w:hint="eastAsia"/>
          <w:color w:val="auto"/>
          <w:highlight w:val="none"/>
        </w:rPr>
        <w:t>负责拟定维保实施计划，并提交招标人确认。</w:t>
      </w:r>
    </w:p>
    <w:p w14:paraId="368E3BB3">
      <w:pPr>
        <w:spacing w:line="360" w:lineRule="auto"/>
        <w:ind w:firstLine="420" w:firstLineChars="200"/>
        <w:rPr>
          <w:color w:val="auto"/>
          <w:highlight w:val="none"/>
        </w:rPr>
      </w:pPr>
      <w:r>
        <w:rPr>
          <w:rFonts w:hint="eastAsia"/>
          <w:color w:val="auto"/>
          <w:highlight w:val="none"/>
          <w:lang w:eastAsia="zh-CN"/>
        </w:rPr>
        <w:t>中标人</w:t>
      </w:r>
      <w:r>
        <w:rPr>
          <w:rFonts w:hint="eastAsia"/>
          <w:color w:val="auto"/>
          <w:highlight w:val="none"/>
        </w:rPr>
        <w:t>向招标人提供《</w:t>
      </w:r>
      <w:r>
        <w:rPr>
          <w:rFonts w:hint="eastAsia"/>
          <w:color w:val="auto"/>
          <w:highlight w:val="none"/>
          <w:lang w:eastAsia="zh-CN"/>
        </w:rPr>
        <w:t>修理</w:t>
      </w:r>
      <w:r>
        <w:rPr>
          <w:rFonts w:hint="eastAsia"/>
          <w:color w:val="auto"/>
          <w:highlight w:val="none"/>
        </w:rPr>
        <w:t>服务总结》，内容包括但不限于：</w:t>
      </w:r>
    </w:p>
    <w:p w14:paraId="2A3497A5">
      <w:pPr>
        <w:spacing w:line="360" w:lineRule="auto"/>
        <w:ind w:firstLine="420" w:firstLineChars="200"/>
        <w:rPr>
          <w:color w:val="auto"/>
          <w:highlight w:val="none"/>
        </w:rPr>
      </w:pPr>
      <w:r>
        <w:rPr>
          <w:rFonts w:hint="eastAsia"/>
          <w:color w:val="auto"/>
          <w:highlight w:val="none"/>
        </w:rPr>
        <w:t>（1）服务情况的总结。</w:t>
      </w:r>
      <w:r>
        <w:rPr>
          <w:rFonts w:hint="eastAsia"/>
          <w:color w:val="auto"/>
          <w:highlight w:val="none"/>
          <w:lang w:eastAsia="zh-CN"/>
        </w:rPr>
        <w:t>定期</w:t>
      </w:r>
      <w:r>
        <w:rPr>
          <w:rFonts w:hint="eastAsia"/>
          <w:color w:val="auto"/>
          <w:highlight w:val="none"/>
        </w:rPr>
        <w:t>对</w:t>
      </w:r>
      <w:r>
        <w:rPr>
          <w:rFonts w:hint="eastAsia"/>
          <w:color w:val="auto"/>
          <w:highlight w:val="none"/>
          <w:lang w:val="en-US" w:eastAsia="zh-CN"/>
        </w:rPr>
        <w:t>营业厅配套设备</w:t>
      </w:r>
      <w:r>
        <w:rPr>
          <w:rFonts w:hint="eastAsia"/>
          <w:color w:val="auto"/>
          <w:highlight w:val="none"/>
        </w:rPr>
        <w:t>整体运行情况进行总结，评估每次维保行动的效果；统计评估</w:t>
      </w:r>
      <w:r>
        <w:rPr>
          <w:rFonts w:hint="eastAsia"/>
          <w:color w:val="auto"/>
          <w:highlight w:val="none"/>
          <w:lang w:eastAsia="zh-CN"/>
        </w:rPr>
        <w:t>修理</w:t>
      </w:r>
      <w:r>
        <w:rPr>
          <w:rFonts w:hint="eastAsia"/>
          <w:color w:val="auto"/>
          <w:highlight w:val="none"/>
        </w:rPr>
        <w:t>实施了的服务包的内容；总结分析遗留问题处理情况 。</w:t>
      </w:r>
    </w:p>
    <w:p w14:paraId="4C2C9660">
      <w:pPr>
        <w:spacing w:line="360" w:lineRule="auto"/>
        <w:ind w:firstLine="420" w:firstLineChars="200"/>
        <w:rPr>
          <w:color w:val="auto"/>
          <w:highlight w:val="none"/>
        </w:rPr>
      </w:pPr>
      <w:r>
        <w:rPr>
          <w:rFonts w:hint="eastAsia"/>
          <w:color w:val="auto"/>
          <w:highlight w:val="none"/>
        </w:rPr>
        <w:t>（2）重大故障分析报告，对故障的发生原因、处理过程和处理结果进行详细说明，并给出预防该类故障再次发生的建议；</w:t>
      </w:r>
    </w:p>
    <w:p w14:paraId="2AC0C493">
      <w:pPr>
        <w:spacing w:line="360" w:lineRule="auto"/>
        <w:ind w:firstLine="420" w:firstLineChars="200"/>
        <w:rPr>
          <w:color w:val="auto"/>
          <w:highlight w:val="none"/>
        </w:rPr>
      </w:pPr>
      <w:r>
        <w:rPr>
          <w:rFonts w:hint="eastAsia"/>
          <w:color w:val="auto"/>
          <w:highlight w:val="none"/>
        </w:rPr>
        <w:t>（3）故障概率、趋势分析；</w:t>
      </w:r>
    </w:p>
    <w:p w14:paraId="416ECF64">
      <w:pPr>
        <w:spacing w:line="360" w:lineRule="auto"/>
        <w:ind w:firstLine="420" w:firstLineChars="200"/>
        <w:rPr>
          <w:color w:val="auto"/>
          <w:highlight w:val="none"/>
        </w:rPr>
      </w:pPr>
      <w:r>
        <w:rPr>
          <w:rFonts w:hint="eastAsia"/>
          <w:color w:val="auto"/>
          <w:highlight w:val="none"/>
        </w:rPr>
        <w:t>（4）计划执行分析。分析维保计划执行情况，对计划未执行项或未按时执行项进行原因分析，分析隐含问题。当出现服务质量问题及不符合合同约定的情况，则需提出分析报告和整改措施。</w:t>
      </w:r>
    </w:p>
    <w:p w14:paraId="6182532F">
      <w:pPr>
        <w:spacing w:line="360" w:lineRule="auto"/>
        <w:ind w:firstLine="420" w:firstLineChars="200"/>
        <w:rPr>
          <w:color w:val="auto"/>
          <w:highlight w:val="none"/>
        </w:rPr>
      </w:pPr>
      <w:r>
        <w:rPr>
          <w:rFonts w:hint="eastAsia"/>
          <w:color w:val="auto"/>
          <w:highlight w:val="none"/>
        </w:rPr>
        <w:t>（5）问题分析。对</w:t>
      </w:r>
      <w:r>
        <w:rPr>
          <w:rFonts w:hint="eastAsia"/>
          <w:color w:val="auto"/>
          <w:highlight w:val="none"/>
          <w:lang w:eastAsia="zh-CN"/>
        </w:rPr>
        <w:t>修理</w:t>
      </w:r>
      <w:r>
        <w:rPr>
          <w:rFonts w:hint="eastAsia"/>
          <w:color w:val="auto"/>
          <w:highlight w:val="none"/>
        </w:rPr>
        <w:t>过程中出现的未曾预见的问题，及时分析总结，给出问题解决建议。</w:t>
      </w:r>
    </w:p>
    <w:p w14:paraId="58E7D1B7">
      <w:pPr>
        <w:spacing w:line="360" w:lineRule="auto"/>
        <w:ind w:firstLine="420" w:firstLineChars="200"/>
        <w:rPr>
          <w:color w:val="auto"/>
          <w:highlight w:val="none"/>
        </w:rPr>
      </w:pPr>
      <w:r>
        <w:rPr>
          <w:rFonts w:hint="eastAsia"/>
          <w:color w:val="auto"/>
          <w:highlight w:val="none"/>
        </w:rPr>
        <w:t>按照招标人要求提交《服务清单》内容包括但不限于：每次服务的日期、故障设备、故障描述、故障状态、备件号，备件名称等。</w:t>
      </w:r>
    </w:p>
    <w:p w14:paraId="633437FA">
      <w:pPr>
        <w:pStyle w:val="8"/>
        <w:tabs>
          <w:tab w:val="left" w:pos="720"/>
        </w:tabs>
        <w:ind w:left="720" w:hanging="720"/>
        <w:rPr>
          <w:color w:val="auto"/>
          <w:highlight w:val="none"/>
        </w:rPr>
      </w:pPr>
      <w:r>
        <w:rPr>
          <w:color w:val="auto"/>
          <w:highlight w:val="none"/>
        </w:rPr>
        <w:t>投诉受理</w:t>
      </w:r>
    </w:p>
    <w:p w14:paraId="28D8D465">
      <w:pPr>
        <w:spacing w:line="360" w:lineRule="auto"/>
        <w:ind w:firstLine="420" w:firstLineChars="200"/>
        <w:rPr>
          <w:color w:val="auto"/>
          <w:highlight w:val="none"/>
        </w:rPr>
      </w:pPr>
      <w:r>
        <w:rPr>
          <w:rFonts w:hint="eastAsia"/>
          <w:color w:val="auto"/>
          <w:highlight w:val="none"/>
        </w:rPr>
        <w:t>除正常的技术支持热线及手机通讯软件报障以外，</w:t>
      </w:r>
      <w:r>
        <w:rPr>
          <w:rFonts w:hint="eastAsia"/>
          <w:color w:val="auto"/>
          <w:highlight w:val="none"/>
          <w:lang w:eastAsia="zh-CN"/>
        </w:rPr>
        <w:t>中标人</w:t>
      </w:r>
      <w:r>
        <w:rPr>
          <w:rFonts w:hint="eastAsia"/>
          <w:color w:val="auto"/>
          <w:highlight w:val="none"/>
        </w:rPr>
        <w:t>另设立客户投诉渠道受理招标人对</w:t>
      </w:r>
      <w:r>
        <w:rPr>
          <w:rFonts w:hint="eastAsia"/>
          <w:color w:val="auto"/>
          <w:highlight w:val="none"/>
          <w:lang w:eastAsia="zh-CN"/>
        </w:rPr>
        <w:t>中标人</w:t>
      </w:r>
      <w:r>
        <w:rPr>
          <w:rFonts w:hint="eastAsia"/>
          <w:color w:val="auto"/>
          <w:highlight w:val="none"/>
        </w:rPr>
        <w:t>服务的投诉。</w:t>
      </w:r>
      <w:r>
        <w:rPr>
          <w:rFonts w:hint="eastAsia"/>
          <w:color w:val="auto"/>
          <w:highlight w:val="none"/>
          <w:lang w:eastAsia="zh-CN"/>
        </w:rPr>
        <w:t>中标人</w:t>
      </w:r>
      <w:r>
        <w:rPr>
          <w:rFonts w:hint="eastAsia"/>
          <w:color w:val="auto"/>
          <w:highlight w:val="none"/>
        </w:rPr>
        <w:t>保证从受理招标人投诉到向招标人初次回复处理意见的时间不超过2小时。</w:t>
      </w:r>
    </w:p>
    <w:p w14:paraId="135CDF58">
      <w:pPr>
        <w:spacing w:line="360" w:lineRule="auto"/>
        <w:ind w:firstLine="420" w:firstLineChars="200"/>
        <w:rPr>
          <w:color w:val="auto"/>
          <w:highlight w:val="none"/>
        </w:rPr>
      </w:pPr>
      <w:r>
        <w:rPr>
          <w:rFonts w:hint="eastAsia"/>
          <w:color w:val="auto"/>
          <w:highlight w:val="none"/>
          <w:lang w:eastAsia="zh-CN"/>
        </w:rPr>
        <w:t>中标人</w:t>
      </w:r>
      <w:r>
        <w:rPr>
          <w:rFonts w:hint="eastAsia"/>
          <w:color w:val="auto"/>
          <w:highlight w:val="none"/>
        </w:rPr>
        <w:t>对投诉的处理以投诉问题得到解决并得到招标人回访结果为满意时结束。</w:t>
      </w:r>
    </w:p>
    <w:p w14:paraId="5A4D1144">
      <w:pPr>
        <w:spacing w:line="360" w:lineRule="auto"/>
        <w:ind w:firstLine="420" w:firstLineChars="200"/>
        <w:rPr>
          <w:color w:val="auto"/>
          <w:highlight w:val="none"/>
        </w:rPr>
      </w:pPr>
      <w:r>
        <w:rPr>
          <w:rFonts w:hint="eastAsia"/>
          <w:color w:val="auto"/>
          <w:highlight w:val="none"/>
        </w:rPr>
        <w:t>当招标人向</w:t>
      </w:r>
      <w:r>
        <w:rPr>
          <w:rFonts w:hint="eastAsia"/>
          <w:color w:val="auto"/>
          <w:highlight w:val="none"/>
          <w:lang w:eastAsia="zh-CN"/>
        </w:rPr>
        <w:t>中标人</w:t>
      </w:r>
      <w:r>
        <w:rPr>
          <w:rFonts w:hint="eastAsia"/>
          <w:color w:val="auto"/>
          <w:highlight w:val="none"/>
        </w:rPr>
        <w:t>提出</w:t>
      </w:r>
      <w:r>
        <w:rPr>
          <w:rFonts w:hint="eastAsia"/>
          <w:color w:val="auto"/>
          <w:highlight w:val="none"/>
          <w:lang w:val="en-US" w:eastAsia="zh-CN"/>
        </w:rPr>
        <w:t>营业厅配套设备</w:t>
      </w:r>
      <w:r>
        <w:rPr>
          <w:rFonts w:hint="eastAsia"/>
          <w:color w:val="auto"/>
          <w:highlight w:val="none"/>
        </w:rPr>
        <w:t>故障修复服务、技术服务支持需求或投诉没有得到响应的情况下，招标人可以直接向</w:t>
      </w:r>
      <w:r>
        <w:rPr>
          <w:rFonts w:hint="eastAsia"/>
          <w:color w:val="auto"/>
          <w:highlight w:val="none"/>
          <w:lang w:eastAsia="zh-CN"/>
        </w:rPr>
        <w:t>中标人</w:t>
      </w:r>
      <w:r>
        <w:rPr>
          <w:rFonts w:hint="eastAsia"/>
          <w:color w:val="auto"/>
          <w:highlight w:val="none"/>
        </w:rPr>
        <w:t>的管理人员进行服务投诉。</w:t>
      </w:r>
    </w:p>
    <w:p w14:paraId="6A6DBEAD">
      <w:pPr>
        <w:ind w:firstLine="420" w:firstLineChars="200"/>
        <w:rPr>
          <w:rFonts w:ascii="宋体" w:hAnsi="宋体"/>
          <w:color w:val="auto"/>
          <w:highlight w:val="none"/>
        </w:rPr>
      </w:pPr>
      <w:r>
        <w:rPr>
          <w:rFonts w:hint="eastAsia" w:ascii="宋体" w:hAnsi="宋体"/>
          <w:color w:val="auto"/>
          <w:highlight w:val="none"/>
          <w:lang w:eastAsia="zh-CN"/>
        </w:rPr>
        <w:t>中标人</w:t>
      </w:r>
      <w:r>
        <w:rPr>
          <w:rFonts w:hint="eastAsia" w:ascii="宋体" w:hAnsi="宋体"/>
          <w:color w:val="auto"/>
          <w:highlight w:val="none"/>
        </w:rPr>
        <w:t>管理人员联系方式。</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077"/>
        <w:gridCol w:w="2077"/>
        <w:gridCol w:w="2078"/>
      </w:tblGrid>
      <w:tr w14:paraId="5ECB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77" w:type="dxa"/>
            <w:vAlign w:val="center"/>
          </w:tcPr>
          <w:p w14:paraId="1FE6E556">
            <w:pPr>
              <w:rPr>
                <w:rFonts w:ascii="Calibri" w:hAnsi="Calibri"/>
                <w:color w:val="auto"/>
                <w:szCs w:val="21"/>
                <w:highlight w:val="none"/>
              </w:rPr>
            </w:pPr>
            <w:r>
              <w:rPr>
                <w:rFonts w:hint="eastAsia" w:ascii="Calibri" w:hAnsi="Calibri"/>
                <w:color w:val="auto"/>
                <w:szCs w:val="21"/>
                <w:highlight w:val="none"/>
              </w:rPr>
              <w:t>序号</w:t>
            </w:r>
          </w:p>
        </w:tc>
        <w:tc>
          <w:tcPr>
            <w:tcW w:w="2077" w:type="dxa"/>
            <w:vAlign w:val="center"/>
          </w:tcPr>
          <w:p w14:paraId="19FCE8C5">
            <w:pPr>
              <w:rPr>
                <w:rFonts w:ascii="Calibri" w:hAnsi="Calibri"/>
                <w:color w:val="auto"/>
                <w:szCs w:val="21"/>
                <w:highlight w:val="none"/>
              </w:rPr>
            </w:pPr>
            <w:r>
              <w:rPr>
                <w:rFonts w:ascii="Calibri" w:hAnsi="Calibri"/>
                <w:color w:val="auto"/>
                <w:szCs w:val="21"/>
                <w:highlight w:val="none"/>
              </w:rPr>
              <w:t>姓名</w:t>
            </w:r>
          </w:p>
        </w:tc>
        <w:tc>
          <w:tcPr>
            <w:tcW w:w="2077" w:type="dxa"/>
            <w:vAlign w:val="center"/>
          </w:tcPr>
          <w:p w14:paraId="1FEFCC46">
            <w:pPr>
              <w:rPr>
                <w:rFonts w:ascii="Calibri" w:hAnsi="Calibri"/>
                <w:color w:val="auto"/>
                <w:szCs w:val="21"/>
                <w:highlight w:val="none"/>
              </w:rPr>
            </w:pPr>
            <w:r>
              <w:rPr>
                <w:rFonts w:ascii="Calibri" w:hAnsi="Calibri"/>
                <w:color w:val="auto"/>
                <w:szCs w:val="21"/>
                <w:highlight w:val="none"/>
              </w:rPr>
              <w:t>职务</w:t>
            </w:r>
          </w:p>
        </w:tc>
        <w:tc>
          <w:tcPr>
            <w:tcW w:w="2078" w:type="dxa"/>
            <w:vAlign w:val="center"/>
          </w:tcPr>
          <w:p w14:paraId="00FED186">
            <w:pPr>
              <w:rPr>
                <w:rFonts w:ascii="Calibri" w:hAnsi="Calibri"/>
                <w:color w:val="auto"/>
                <w:szCs w:val="21"/>
                <w:highlight w:val="none"/>
              </w:rPr>
            </w:pPr>
            <w:r>
              <w:rPr>
                <w:rFonts w:ascii="Calibri" w:hAnsi="Calibri"/>
                <w:color w:val="auto"/>
                <w:szCs w:val="21"/>
                <w:highlight w:val="none"/>
              </w:rPr>
              <w:t>联系电话</w:t>
            </w:r>
          </w:p>
        </w:tc>
      </w:tr>
      <w:tr w14:paraId="7456F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077" w:type="dxa"/>
            <w:vAlign w:val="center"/>
          </w:tcPr>
          <w:p w14:paraId="524077B3">
            <w:pPr>
              <w:rPr>
                <w:rFonts w:ascii="Calibri" w:hAnsi="Calibri"/>
                <w:color w:val="auto"/>
                <w:szCs w:val="21"/>
                <w:highlight w:val="none"/>
              </w:rPr>
            </w:pPr>
            <w:r>
              <w:rPr>
                <w:rFonts w:hint="eastAsia" w:ascii="Calibri" w:hAnsi="Calibri"/>
                <w:color w:val="auto"/>
                <w:szCs w:val="21"/>
                <w:highlight w:val="none"/>
              </w:rPr>
              <w:t>1</w:t>
            </w:r>
          </w:p>
        </w:tc>
        <w:tc>
          <w:tcPr>
            <w:tcW w:w="2077" w:type="dxa"/>
            <w:vAlign w:val="center"/>
          </w:tcPr>
          <w:p w14:paraId="1729A238">
            <w:pPr>
              <w:rPr>
                <w:rFonts w:ascii="Calibri" w:hAnsi="Calibri"/>
                <w:color w:val="auto"/>
                <w:szCs w:val="21"/>
                <w:highlight w:val="none"/>
              </w:rPr>
            </w:pPr>
          </w:p>
        </w:tc>
        <w:tc>
          <w:tcPr>
            <w:tcW w:w="2077" w:type="dxa"/>
            <w:vAlign w:val="center"/>
          </w:tcPr>
          <w:p w14:paraId="528C005E">
            <w:pPr>
              <w:rPr>
                <w:rFonts w:ascii="Calibri" w:hAnsi="Calibri"/>
                <w:color w:val="auto"/>
                <w:szCs w:val="21"/>
                <w:highlight w:val="none"/>
              </w:rPr>
            </w:pPr>
          </w:p>
        </w:tc>
        <w:tc>
          <w:tcPr>
            <w:tcW w:w="2078" w:type="dxa"/>
            <w:vAlign w:val="center"/>
          </w:tcPr>
          <w:p w14:paraId="6B2F4D5F">
            <w:pPr>
              <w:rPr>
                <w:rFonts w:ascii="Calibri" w:hAnsi="Calibri"/>
                <w:color w:val="auto"/>
                <w:szCs w:val="21"/>
                <w:highlight w:val="none"/>
              </w:rPr>
            </w:pPr>
          </w:p>
        </w:tc>
      </w:tr>
    </w:tbl>
    <w:p w14:paraId="51313D72">
      <w:pPr>
        <w:pStyle w:val="7"/>
        <w:tabs>
          <w:tab w:val="left" w:pos="720"/>
        </w:tabs>
        <w:ind w:left="720" w:hanging="720"/>
        <w:rPr>
          <w:color w:val="auto"/>
          <w:highlight w:val="none"/>
        </w:rPr>
      </w:pPr>
      <w:r>
        <w:rPr>
          <w:color w:val="auto"/>
          <w:highlight w:val="none"/>
        </w:rPr>
        <w:t>服务时间</w:t>
      </w:r>
    </w:p>
    <w:p w14:paraId="349983F4">
      <w:pPr>
        <w:numPr>
          <w:ilvl w:val="0"/>
          <w:numId w:val="5"/>
        </w:numPr>
        <w:spacing w:line="360" w:lineRule="auto"/>
        <w:ind w:lef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7×24小时技术支持热线  电话： </w:t>
      </w:r>
      <w:r>
        <w:rPr>
          <w:rFonts w:hint="eastAsia" w:asciiTheme="minorEastAsia" w:hAnsiTheme="minorEastAsia" w:eastAsiaTheme="minorEastAsia"/>
          <w:color w:val="auto"/>
          <w:highlight w:val="none"/>
        </w:rPr>
        <w:t>********</w:t>
      </w:r>
    </w:p>
    <w:p w14:paraId="24FB520A">
      <w:pPr>
        <w:numPr>
          <w:ilvl w:val="0"/>
          <w:numId w:val="5"/>
        </w:numPr>
        <w:spacing w:line="360" w:lineRule="auto"/>
        <w:ind w:lef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24小时技术支持热线接听</w:t>
      </w:r>
    </w:p>
    <w:p w14:paraId="26B7DAD2">
      <w:pPr>
        <w:numPr>
          <w:ilvl w:val="0"/>
          <w:numId w:val="5"/>
        </w:numPr>
        <w:spacing w:line="360" w:lineRule="auto"/>
        <w:ind w:lef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故障申报后半小时内响应，并在</w:t>
      </w:r>
      <w:r>
        <w:rPr>
          <w:rFonts w:hint="eastAsia" w:ascii="宋体" w:hAnsi="宋体" w:eastAsia="宋体" w:cs="宋体"/>
          <w:color w:val="auto"/>
          <w:highlight w:val="none"/>
          <w:lang w:val="en-US" w:eastAsia="zh-CN"/>
        </w:rPr>
        <w:t>约定时间</w:t>
      </w:r>
      <w:r>
        <w:rPr>
          <w:rFonts w:hint="eastAsia" w:ascii="宋体" w:hAnsi="宋体" w:eastAsia="宋体" w:cs="宋体"/>
          <w:color w:val="auto"/>
          <w:highlight w:val="none"/>
        </w:rPr>
        <w:t>内到达现场处理；</w:t>
      </w:r>
    </w:p>
    <w:p w14:paraId="7669A902">
      <w:pPr>
        <w:numPr>
          <w:ilvl w:val="0"/>
          <w:numId w:val="5"/>
        </w:numPr>
        <w:spacing w:line="360" w:lineRule="auto"/>
        <w:ind w:lef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24小时运维服务电话专线，保证即时进行故障响应及故障排除。</w:t>
      </w:r>
    </w:p>
    <w:p w14:paraId="6E9CC6DB">
      <w:pPr>
        <w:numPr>
          <w:ilvl w:val="0"/>
          <w:numId w:val="5"/>
        </w:numPr>
        <w:spacing w:line="360" w:lineRule="auto"/>
        <w:ind w:left="0" w:firstLine="420" w:firstLineChars="200"/>
        <w:rPr>
          <w:rFonts w:asciiTheme="minorEastAsia" w:hAnsiTheme="minorEastAsia" w:eastAsiaTheme="minorEastAsia"/>
          <w:color w:val="auto"/>
          <w:highlight w:val="none"/>
        </w:rPr>
      </w:pPr>
      <w:r>
        <w:rPr>
          <w:rFonts w:hint="eastAsia" w:ascii="宋体" w:hAnsi="宋体" w:eastAsia="宋体" w:cs="宋体"/>
          <w:color w:val="auto"/>
          <w:highlight w:val="none"/>
        </w:rPr>
        <w:t>运维团队24小时受理处理故障。</w:t>
      </w:r>
    </w:p>
    <w:p w14:paraId="1F4520BB">
      <w:pPr>
        <w:pStyle w:val="6"/>
        <w:rPr>
          <w:color w:val="auto"/>
          <w:highlight w:val="none"/>
        </w:rPr>
      </w:pPr>
      <w:bookmarkStart w:id="113" w:name="_Toc22141"/>
      <w:r>
        <w:rPr>
          <w:color w:val="auto"/>
          <w:highlight w:val="none"/>
        </w:rPr>
        <w:t>设备维护保障要求</w:t>
      </w:r>
      <w:bookmarkEnd w:id="113"/>
    </w:p>
    <w:p w14:paraId="45EBF23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中标人负责</w:t>
      </w:r>
      <w:r>
        <w:rPr>
          <w:rFonts w:hint="eastAsia"/>
          <w:color w:val="auto"/>
          <w:highlight w:val="none"/>
          <w:lang w:val="en-US" w:eastAsia="zh-CN"/>
        </w:rPr>
        <w:t>营业厅配套设备</w:t>
      </w:r>
      <w:r>
        <w:rPr>
          <w:rFonts w:hint="eastAsia" w:ascii="宋体" w:hAnsi="宋体" w:cs="宋体"/>
          <w:color w:val="auto"/>
          <w:szCs w:val="21"/>
          <w:highlight w:val="none"/>
        </w:rPr>
        <w:t>运行日常维护工作，设立报障热线并由专人负责，并制定7×12小时标准的</w:t>
      </w:r>
      <w:r>
        <w:rPr>
          <w:rFonts w:hint="eastAsia"/>
          <w:color w:val="auto"/>
          <w:highlight w:val="none"/>
          <w:lang w:val="en-US" w:eastAsia="zh-CN"/>
        </w:rPr>
        <w:t>营业厅配套设备</w:t>
      </w:r>
      <w:r>
        <w:rPr>
          <w:rFonts w:hint="eastAsia" w:ascii="宋体" w:hAnsi="宋体" w:cs="宋体"/>
          <w:color w:val="auto"/>
          <w:szCs w:val="21"/>
          <w:highlight w:val="none"/>
        </w:rPr>
        <w:t>故障响应维护制度。中标人必需储备充足备品及至少一台备用</w:t>
      </w:r>
      <w:r>
        <w:rPr>
          <w:rFonts w:hint="eastAsia"/>
          <w:color w:val="auto"/>
          <w:highlight w:val="none"/>
          <w:lang w:val="en-US" w:eastAsia="zh-CN"/>
        </w:rPr>
        <w:t>营业厅配套设备</w:t>
      </w:r>
      <w:r>
        <w:rPr>
          <w:rFonts w:hint="eastAsia" w:ascii="宋体" w:hAnsi="宋体" w:cs="宋体"/>
          <w:color w:val="auto"/>
          <w:szCs w:val="21"/>
          <w:highlight w:val="none"/>
        </w:rPr>
        <w:t>，确保不发生因零件缺失或不到位而引起</w:t>
      </w:r>
      <w:r>
        <w:rPr>
          <w:rFonts w:hint="eastAsia"/>
          <w:color w:val="auto"/>
          <w:highlight w:val="none"/>
          <w:lang w:val="en-US" w:eastAsia="zh-CN"/>
        </w:rPr>
        <w:t>营业厅配套设备</w:t>
      </w:r>
      <w:r>
        <w:rPr>
          <w:rFonts w:hint="eastAsia" w:ascii="宋体" w:hAnsi="宋体" w:cs="宋体"/>
          <w:color w:val="auto"/>
          <w:szCs w:val="21"/>
          <w:highlight w:val="none"/>
        </w:rPr>
        <w:t>故障超过24小时。</w:t>
      </w:r>
    </w:p>
    <w:p w14:paraId="334A8FF3">
      <w:pPr>
        <w:pStyle w:val="42"/>
        <w:numPr>
          <w:ilvl w:val="0"/>
          <w:numId w:val="6"/>
        </w:numPr>
        <w:spacing w:line="360" w:lineRule="auto"/>
        <w:ind w:firstLineChars="0"/>
        <w:jc w:val="left"/>
        <w:rPr>
          <w:rFonts w:ascii="宋体" w:hAnsi="宋体" w:cs="宋体"/>
          <w:color w:val="auto"/>
          <w:szCs w:val="21"/>
          <w:highlight w:val="none"/>
        </w:rPr>
      </w:pPr>
      <w:r>
        <w:rPr>
          <w:rFonts w:ascii="宋体" w:hAnsi="宋体" w:cs="宋体"/>
          <w:color w:val="auto"/>
          <w:szCs w:val="21"/>
          <w:highlight w:val="none"/>
        </w:rPr>
        <w:t>7×12</w:t>
      </w:r>
      <w:r>
        <w:rPr>
          <w:rFonts w:hint="eastAsia" w:ascii="宋体" w:hAnsi="宋体" w:cs="宋体"/>
          <w:color w:val="auto"/>
          <w:szCs w:val="21"/>
          <w:highlight w:val="none"/>
        </w:rPr>
        <w:t>小时运维工作时间：</w:t>
      </w:r>
      <w:r>
        <w:rPr>
          <w:rFonts w:ascii="宋体" w:hAnsi="宋体" w:cs="宋体"/>
          <w:color w:val="auto"/>
          <w:szCs w:val="21"/>
          <w:highlight w:val="none"/>
        </w:rPr>
        <w:t>7×12</w:t>
      </w:r>
      <w:r>
        <w:rPr>
          <w:rFonts w:hint="eastAsia" w:ascii="宋体" w:hAnsi="宋体" w:cs="宋体"/>
          <w:color w:val="auto"/>
          <w:szCs w:val="21"/>
          <w:highlight w:val="none"/>
        </w:rPr>
        <w:t>小时</w:t>
      </w:r>
    </w:p>
    <w:p w14:paraId="1EC5877D">
      <w:pPr>
        <w:pStyle w:val="42"/>
        <w:numPr>
          <w:ilvl w:val="0"/>
          <w:numId w:val="6"/>
        </w:numPr>
        <w:spacing w:line="360" w:lineRule="auto"/>
        <w:ind w:firstLineChars="0"/>
        <w:jc w:val="left"/>
        <w:rPr>
          <w:rFonts w:ascii="宋体" w:hAnsi="宋体" w:cs="宋体"/>
          <w:color w:val="auto"/>
          <w:szCs w:val="21"/>
          <w:highlight w:val="none"/>
        </w:rPr>
      </w:pPr>
      <w:r>
        <w:rPr>
          <w:rFonts w:ascii="宋体" w:hAnsi="宋体" w:cs="宋体"/>
          <w:color w:val="auto"/>
          <w:szCs w:val="21"/>
          <w:highlight w:val="none"/>
        </w:rPr>
        <w:t>7×24</w:t>
      </w:r>
      <w:r>
        <w:rPr>
          <w:rFonts w:hint="eastAsia" w:ascii="宋体" w:hAnsi="宋体" w:cs="宋体"/>
          <w:color w:val="auto"/>
          <w:szCs w:val="21"/>
          <w:highlight w:val="none"/>
        </w:rPr>
        <w:t>小时技术支持热线电话：</w:t>
      </w:r>
      <w:r>
        <w:rPr>
          <w:rFonts w:ascii="宋体" w:hAnsi="宋体" w:cs="宋体"/>
          <w:color w:val="auto"/>
          <w:szCs w:val="21"/>
          <w:highlight w:val="none"/>
        </w:rPr>
        <w:t>********</w:t>
      </w:r>
    </w:p>
    <w:p w14:paraId="7242530E">
      <w:pPr>
        <w:pStyle w:val="42"/>
        <w:numPr>
          <w:ilvl w:val="0"/>
          <w:numId w:val="6"/>
        </w:numPr>
        <w:spacing w:line="360" w:lineRule="auto"/>
        <w:ind w:firstLineChars="0"/>
        <w:jc w:val="left"/>
        <w:rPr>
          <w:rFonts w:ascii="宋体" w:hAnsi="宋体" w:cs="宋体"/>
          <w:color w:val="auto"/>
          <w:szCs w:val="21"/>
          <w:highlight w:val="none"/>
        </w:rPr>
      </w:pPr>
      <w:r>
        <w:rPr>
          <w:rFonts w:ascii="宋体" w:hAnsi="宋体" w:cs="宋体"/>
          <w:color w:val="auto"/>
          <w:szCs w:val="21"/>
          <w:highlight w:val="none"/>
        </w:rPr>
        <w:t>24</w:t>
      </w:r>
      <w:r>
        <w:rPr>
          <w:rFonts w:hint="eastAsia" w:ascii="宋体" w:hAnsi="宋体" w:cs="宋体"/>
          <w:color w:val="auto"/>
          <w:szCs w:val="21"/>
          <w:highlight w:val="none"/>
        </w:rPr>
        <w:t>小时技术支持热线负责人：某某某（姓名）</w:t>
      </w:r>
      <w:r>
        <w:rPr>
          <w:rFonts w:ascii="宋体" w:hAnsi="宋体" w:cs="宋体"/>
          <w:color w:val="auto"/>
          <w:szCs w:val="21"/>
          <w:highlight w:val="none"/>
        </w:rPr>
        <w:t>***********</w:t>
      </w:r>
      <w:r>
        <w:rPr>
          <w:rFonts w:hint="eastAsia" w:ascii="宋体" w:hAnsi="宋体" w:cs="宋体"/>
          <w:color w:val="auto"/>
          <w:szCs w:val="21"/>
          <w:highlight w:val="none"/>
        </w:rPr>
        <w:t>（手机）</w:t>
      </w:r>
    </w:p>
    <w:p w14:paraId="566A4A3F">
      <w:pPr>
        <w:pStyle w:val="42"/>
        <w:numPr>
          <w:ilvl w:val="0"/>
          <w:numId w:val="6"/>
        </w:numPr>
        <w:spacing w:line="360" w:lineRule="auto"/>
        <w:ind w:firstLineChars="0"/>
        <w:jc w:val="left"/>
        <w:rPr>
          <w:rFonts w:ascii="宋体" w:hAnsi="宋体" w:cs="宋体"/>
          <w:color w:val="auto"/>
          <w:szCs w:val="21"/>
          <w:highlight w:val="none"/>
        </w:rPr>
      </w:pPr>
      <w:r>
        <w:rPr>
          <w:rFonts w:ascii="宋体" w:hAnsi="宋体" w:cs="宋体"/>
          <w:color w:val="auto"/>
          <w:szCs w:val="21"/>
          <w:highlight w:val="none"/>
        </w:rPr>
        <w:t>24</w:t>
      </w:r>
      <w:r>
        <w:rPr>
          <w:rFonts w:hint="eastAsia" w:ascii="宋体" w:hAnsi="宋体" w:cs="宋体"/>
          <w:color w:val="auto"/>
          <w:szCs w:val="21"/>
          <w:highlight w:val="none"/>
        </w:rPr>
        <w:t>小时运维服务电话专线，保证即时进行故障响应及故障排除。</w:t>
      </w:r>
    </w:p>
    <w:p w14:paraId="1DF3632D">
      <w:pPr>
        <w:numPr>
          <w:ilvl w:val="0"/>
          <w:numId w:val="5"/>
        </w:numPr>
        <w:spacing w:line="360" w:lineRule="auto"/>
        <w:ind w:left="0" w:firstLine="420" w:firstLineChars="200"/>
        <w:rPr>
          <w:rFonts w:ascii="宋体" w:hAnsi="宋体" w:cs="宋体"/>
          <w:color w:val="auto"/>
          <w:szCs w:val="21"/>
          <w:highlight w:val="none"/>
        </w:rPr>
      </w:pPr>
      <w:r>
        <w:rPr>
          <w:rFonts w:hint="eastAsia" w:ascii="宋体" w:hAnsi="宋体" w:eastAsia="宋体" w:cs="宋体"/>
          <w:color w:val="auto"/>
          <w:highlight w:val="none"/>
        </w:rPr>
        <w:t>故障处理完成时间：</w:t>
      </w:r>
      <w:r>
        <w:rPr>
          <w:rFonts w:hint="eastAsia" w:ascii="宋体" w:hAnsi="宋体" w:eastAsia="宋体" w:cs="宋体"/>
          <w:color w:val="auto"/>
          <w:highlight w:val="none"/>
          <w:lang w:val="en-US" w:eastAsia="zh-CN"/>
        </w:rPr>
        <w:t>约定时间内</w:t>
      </w:r>
      <w:r>
        <w:rPr>
          <w:rFonts w:hint="eastAsia" w:ascii="宋体" w:hAnsi="宋体" w:eastAsia="宋体" w:cs="宋体"/>
          <w:color w:val="auto"/>
          <w:highlight w:val="none"/>
        </w:rPr>
        <w:t>到达</w:t>
      </w:r>
      <w:r>
        <w:rPr>
          <w:rFonts w:hint="eastAsia" w:ascii="宋体" w:hAnsi="宋体" w:eastAsia="宋体" w:cs="宋体"/>
          <w:color w:val="auto"/>
          <w:highlight w:val="none"/>
          <w:lang w:val="en-US" w:eastAsia="zh-CN"/>
        </w:rPr>
        <w:t>并</w:t>
      </w:r>
      <w:r>
        <w:rPr>
          <w:rFonts w:hint="eastAsia" w:ascii="宋体" w:hAnsi="宋体" w:eastAsia="宋体" w:cs="宋体"/>
          <w:color w:val="auto"/>
          <w:highlight w:val="none"/>
        </w:rPr>
        <w:t>处理完毕</w:t>
      </w:r>
      <w:r>
        <w:rPr>
          <w:rFonts w:hint="eastAsia" w:asciiTheme="minorEastAsia" w:hAnsiTheme="minorEastAsia" w:eastAsiaTheme="minorEastAsia"/>
          <w:color w:val="auto"/>
          <w:highlight w:val="none"/>
        </w:rPr>
        <w:t>。</w:t>
      </w:r>
    </w:p>
    <w:p w14:paraId="54A2A19E">
      <w:pPr>
        <w:pStyle w:val="7"/>
        <w:rPr>
          <w:color w:val="auto"/>
          <w:highlight w:val="none"/>
        </w:rPr>
      </w:pPr>
      <w:r>
        <w:rPr>
          <w:rFonts w:hint="eastAsia"/>
          <w:color w:val="auto"/>
          <w:highlight w:val="none"/>
        </w:rPr>
        <w:t>报障及故障处理</w:t>
      </w:r>
    </w:p>
    <w:p w14:paraId="289238B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中标人设立7*24小时的服务热线，安排专职客服岗位人员，负责处理客户使用</w:t>
      </w:r>
      <w:r>
        <w:rPr>
          <w:rFonts w:hint="eastAsia"/>
          <w:color w:val="auto"/>
          <w:highlight w:val="none"/>
          <w:lang w:val="en-US" w:eastAsia="zh-CN"/>
        </w:rPr>
        <w:t>营业厅配套设备</w:t>
      </w:r>
      <w:r>
        <w:rPr>
          <w:rFonts w:hint="eastAsia" w:ascii="宋体" w:hAnsi="宋体" w:cs="宋体"/>
          <w:color w:val="auto"/>
          <w:szCs w:val="21"/>
          <w:highlight w:val="none"/>
        </w:rPr>
        <w:t>投诉问题，并建立客户服务保障机制。对于客户使用营业厅设备提供的服务产生的质量问题，中标人应作为故障处理方，负责全程跟进处理，并最终解决客户投诉问题。</w:t>
      </w:r>
    </w:p>
    <w:p w14:paraId="21845A27">
      <w:pPr>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报障及故障处理流程如下：</w:t>
      </w:r>
    </w:p>
    <w:p w14:paraId="244988DD">
      <w:pPr>
        <w:pStyle w:val="42"/>
        <w:numPr>
          <w:ilvl w:val="0"/>
          <w:numId w:val="7"/>
        </w:numPr>
        <w:spacing w:line="360" w:lineRule="auto"/>
        <w:ind w:firstLineChars="0"/>
        <w:jc w:val="left"/>
        <w:rPr>
          <w:rFonts w:ascii="宋体" w:hAnsi="宋体" w:cs="宋体"/>
          <w:color w:val="auto"/>
          <w:szCs w:val="21"/>
          <w:highlight w:val="none"/>
        </w:rPr>
      </w:pPr>
      <w:r>
        <w:rPr>
          <w:rFonts w:hint="eastAsia" w:ascii="宋体" w:hAnsi="宋体" w:cs="宋体"/>
          <w:color w:val="auto"/>
          <w:szCs w:val="21"/>
          <w:highlight w:val="none"/>
        </w:rPr>
        <w:t>当故障发生时由营业厅工作人员报障到维护厂商；</w:t>
      </w:r>
    </w:p>
    <w:p w14:paraId="1A69746C">
      <w:pPr>
        <w:pStyle w:val="42"/>
        <w:numPr>
          <w:ilvl w:val="0"/>
          <w:numId w:val="7"/>
        </w:numPr>
        <w:spacing w:line="360" w:lineRule="auto"/>
        <w:ind w:firstLineChars="0"/>
        <w:jc w:val="left"/>
        <w:rPr>
          <w:rFonts w:ascii="宋体" w:hAnsi="宋体" w:cs="宋体"/>
          <w:color w:val="auto"/>
          <w:szCs w:val="21"/>
          <w:highlight w:val="none"/>
        </w:rPr>
      </w:pPr>
      <w:r>
        <w:rPr>
          <w:rFonts w:hint="eastAsia" w:ascii="宋体" w:hAnsi="宋体" w:cs="宋体"/>
          <w:color w:val="auto"/>
          <w:szCs w:val="21"/>
          <w:highlight w:val="none"/>
        </w:rPr>
        <w:t>维护厂商接到报障后安排工程师在</w:t>
      </w:r>
      <w:r>
        <w:rPr>
          <w:rFonts w:hint="eastAsia" w:ascii="宋体" w:hAnsi="宋体" w:cs="宋体"/>
          <w:color w:val="auto"/>
          <w:szCs w:val="21"/>
          <w:highlight w:val="none"/>
          <w:lang w:val="en-US" w:eastAsia="zh-CN"/>
        </w:rPr>
        <w:t>3</w:t>
      </w:r>
      <w:r>
        <w:rPr>
          <w:rFonts w:ascii="宋体" w:hAnsi="宋体" w:cs="宋体"/>
          <w:color w:val="auto"/>
          <w:szCs w:val="21"/>
          <w:highlight w:val="none"/>
        </w:rPr>
        <w:t>0</w:t>
      </w:r>
      <w:r>
        <w:rPr>
          <w:rFonts w:hint="eastAsia" w:ascii="宋体" w:hAnsi="宋体" w:cs="宋体"/>
          <w:color w:val="auto"/>
          <w:szCs w:val="21"/>
          <w:highlight w:val="none"/>
        </w:rPr>
        <w:t>分钟内联系服务厅报障人员；</w:t>
      </w:r>
    </w:p>
    <w:p w14:paraId="4E404A1C">
      <w:pPr>
        <w:pStyle w:val="42"/>
        <w:numPr>
          <w:ilvl w:val="0"/>
          <w:numId w:val="7"/>
        </w:numPr>
        <w:spacing w:line="360" w:lineRule="auto"/>
        <w:ind w:firstLineChars="0"/>
        <w:jc w:val="left"/>
        <w:rPr>
          <w:rFonts w:ascii="宋体" w:hAnsi="宋体" w:cs="宋体"/>
          <w:color w:val="auto"/>
          <w:szCs w:val="21"/>
          <w:highlight w:val="none"/>
        </w:rPr>
      </w:pPr>
      <w:r>
        <w:rPr>
          <w:rFonts w:hint="eastAsia" w:ascii="宋体" w:hAnsi="宋体" w:cs="宋体"/>
          <w:color w:val="auto"/>
          <w:szCs w:val="21"/>
          <w:highlight w:val="none"/>
        </w:rPr>
        <w:t>工程师联系服务厅报障人员后询问故障详细原因，看能否电话支持服务厅人员解决故障；</w:t>
      </w:r>
    </w:p>
    <w:p w14:paraId="5B2148E3">
      <w:pPr>
        <w:pStyle w:val="42"/>
        <w:numPr>
          <w:ilvl w:val="0"/>
          <w:numId w:val="7"/>
        </w:numPr>
        <w:spacing w:line="360" w:lineRule="auto"/>
        <w:ind w:firstLineChars="0"/>
        <w:jc w:val="left"/>
        <w:rPr>
          <w:rFonts w:ascii="宋体" w:hAnsi="宋体" w:cs="宋体"/>
          <w:color w:val="auto"/>
          <w:szCs w:val="21"/>
          <w:highlight w:val="none"/>
        </w:rPr>
      </w:pPr>
      <w:r>
        <w:rPr>
          <w:rFonts w:hint="eastAsia" w:ascii="宋体" w:hAnsi="宋体" w:cs="宋体"/>
          <w:color w:val="auto"/>
          <w:szCs w:val="21"/>
          <w:highlight w:val="none"/>
        </w:rPr>
        <w:t>当不能在电话中解决问题时，工程师将安排时间到达现场维护（</w:t>
      </w:r>
      <w:r>
        <w:rPr>
          <w:rFonts w:hint="eastAsia" w:ascii="宋体" w:hAnsi="宋体" w:cs="宋体"/>
          <w:color w:val="auto"/>
          <w:szCs w:val="21"/>
          <w:highlight w:val="none"/>
          <w:lang w:val="en-US" w:eastAsia="zh-CN"/>
        </w:rPr>
        <w:t>在约定时间</w:t>
      </w:r>
      <w:r>
        <w:rPr>
          <w:rFonts w:hint="eastAsia" w:ascii="宋体" w:hAnsi="宋体" w:cs="宋体"/>
          <w:color w:val="auto"/>
          <w:szCs w:val="21"/>
          <w:highlight w:val="none"/>
        </w:rPr>
        <w:t>内到达）；</w:t>
      </w:r>
    </w:p>
    <w:p w14:paraId="14F3A52D">
      <w:pPr>
        <w:pStyle w:val="42"/>
        <w:numPr>
          <w:ilvl w:val="0"/>
          <w:numId w:val="7"/>
        </w:numPr>
        <w:spacing w:line="360" w:lineRule="auto"/>
        <w:ind w:firstLineChars="0"/>
        <w:jc w:val="left"/>
        <w:rPr>
          <w:rFonts w:ascii="宋体" w:hAnsi="宋体" w:cs="宋体"/>
          <w:color w:val="auto"/>
          <w:szCs w:val="21"/>
          <w:highlight w:val="none"/>
        </w:rPr>
      </w:pPr>
      <w:r>
        <w:rPr>
          <w:rFonts w:hint="eastAsia" w:ascii="宋体" w:hAnsi="宋体" w:cs="宋体"/>
          <w:color w:val="auto"/>
          <w:szCs w:val="21"/>
          <w:highlight w:val="none"/>
        </w:rPr>
        <w:t>工程师到达现场后对</w:t>
      </w:r>
      <w:r>
        <w:rPr>
          <w:rFonts w:hint="eastAsia"/>
          <w:color w:val="auto"/>
          <w:highlight w:val="none"/>
          <w:lang w:val="en-US" w:eastAsia="zh-CN"/>
        </w:rPr>
        <w:t>营业厅配套设备</w:t>
      </w:r>
      <w:r>
        <w:rPr>
          <w:rFonts w:hint="eastAsia" w:ascii="宋体" w:hAnsi="宋体" w:cs="宋体"/>
          <w:color w:val="auto"/>
          <w:szCs w:val="21"/>
          <w:highlight w:val="none"/>
        </w:rPr>
        <w:t>进行故障检测；</w:t>
      </w:r>
    </w:p>
    <w:p w14:paraId="184AEFE3">
      <w:pPr>
        <w:pStyle w:val="42"/>
        <w:numPr>
          <w:ilvl w:val="0"/>
          <w:numId w:val="7"/>
        </w:numPr>
        <w:spacing w:line="360" w:lineRule="auto"/>
        <w:ind w:firstLineChars="0"/>
        <w:jc w:val="left"/>
        <w:rPr>
          <w:rFonts w:ascii="宋体" w:hAnsi="宋体" w:cs="宋体"/>
          <w:color w:val="auto"/>
          <w:szCs w:val="21"/>
          <w:highlight w:val="none"/>
        </w:rPr>
      </w:pPr>
      <w:r>
        <w:rPr>
          <w:rFonts w:hint="eastAsia" w:ascii="宋体" w:hAnsi="宋体" w:cs="宋体"/>
          <w:color w:val="auto"/>
          <w:szCs w:val="21"/>
          <w:highlight w:val="none"/>
        </w:rPr>
        <w:t>工程师检测到故障原因后对</w:t>
      </w:r>
      <w:r>
        <w:rPr>
          <w:rFonts w:hint="eastAsia"/>
          <w:color w:val="auto"/>
          <w:highlight w:val="none"/>
          <w:lang w:val="en-US" w:eastAsia="zh-CN"/>
        </w:rPr>
        <w:t>营业厅配套设备</w:t>
      </w:r>
      <w:r>
        <w:rPr>
          <w:rFonts w:hint="eastAsia" w:ascii="宋体" w:hAnsi="宋体" w:cs="宋体"/>
          <w:color w:val="auto"/>
          <w:szCs w:val="21"/>
          <w:highlight w:val="none"/>
        </w:rPr>
        <w:t>进行维护，如果遇到外部电源或网络等故障时将立即向招标人相关部门汇报，然后跟服务厅人员解释故障原因并根据流程做好下一步工作安排；</w:t>
      </w:r>
    </w:p>
    <w:p w14:paraId="799C6B96">
      <w:pPr>
        <w:pStyle w:val="42"/>
        <w:numPr>
          <w:ilvl w:val="0"/>
          <w:numId w:val="7"/>
        </w:numPr>
        <w:spacing w:line="360" w:lineRule="auto"/>
        <w:ind w:firstLineChars="0"/>
        <w:jc w:val="left"/>
        <w:rPr>
          <w:rFonts w:ascii="宋体" w:hAnsi="宋体" w:cs="宋体"/>
          <w:color w:val="auto"/>
          <w:szCs w:val="21"/>
          <w:highlight w:val="none"/>
        </w:rPr>
      </w:pPr>
      <w:r>
        <w:rPr>
          <w:rFonts w:hint="eastAsia" w:ascii="宋体" w:hAnsi="宋体" w:cs="宋体"/>
          <w:color w:val="auto"/>
          <w:szCs w:val="21"/>
          <w:highlight w:val="none"/>
        </w:rPr>
        <w:t>排除故障后对</w:t>
      </w:r>
      <w:r>
        <w:rPr>
          <w:rFonts w:hint="eastAsia"/>
          <w:color w:val="auto"/>
          <w:highlight w:val="none"/>
          <w:lang w:val="en-US" w:eastAsia="zh-CN"/>
        </w:rPr>
        <w:t>营业厅配套设备</w:t>
      </w:r>
      <w:r>
        <w:rPr>
          <w:rFonts w:hint="eastAsia" w:ascii="宋体" w:hAnsi="宋体" w:cs="宋体"/>
          <w:color w:val="auto"/>
          <w:szCs w:val="21"/>
          <w:highlight w:val="none"/>
        </w:rPr>
        <w:t>进行全面的测试，并交由</w:t>
      </w:r>
      <w:r>
        <w:rPr>
          <w:rFonts w:hint="eastAsia" w:ascii="宋体" w:hAnsi="宋体" w:cs="宋体"/>
          <w:color w:val="auto"/>
          <w:szCs w:val="21"/>
          <w:highlight w:val="none"/>
          <w:lang w:val="en-US" w:eastAsia="zh-CN"/>
        </w:rPr>
        <w:t>营业</w:t>
      </w:r>
      <w:r>
        <w:rPr>
          <w:rFonts w:hint="eastAsia" w:ascii="宋体" w:hAnsi="宋体" w:cs="宋体"/>
          <w:color w:val="auto"/>
          <w:szCs w:val="21"/>
          <w:highlight w:val="none"/>
        </w:rPr>
        <w:t>厅工作人员验收；</w:t>
      </w:r>
    </w:p>
    <w:p w14:paraId="66BEAA3C">
      <w:pPr>
        <w:pStyle w:val="42"/>
        <w:numPr>
          <w:ilvl w:val="0"/>
          <w:numId w:val="7"/>
        </w:numPr>
        <w:spacing w:line="360" w:lineRule="auto"/>
        <w:ind w:firstLineChars="0"/>
        <w:jc w:val="left"/>
        <w:rPr>
          <w:rFonts w:ascii="宋体" w:hAnsi="宋体" w:cs="宋体"/>
          <w:color w:val="auto"/>
          <w:szCs w:val="21"/>
          <w:highlight w:val="none"/>
        </w:rPr>
      </w:pPr>
      <w:r>
        <w:rPr>
          <w:rFonts w:hint="eastAsia" w:ascii="宋体" w:hAnsi="宋体" w:cs="宋体"/>
          <w:color w:val="auto"/>
          <w:szCs w:val="21"/>
          <w:highlight w:val="none"/>
        </w:rPr>
        <w:t>故障处理完成中标人将由客户部门对工程师的维护服务质量进行回访。</w:t>
      </w:r>
    </w:p>
    <w:p w14:paraId="74CF5463">
      <w:pPr>
        <w:pStyle w:val="7"/>
        <w:rPr>
          <w:color w:val="auto"/>
          <w:highlight w:val="none"/>
        </w:rPr>
      </w:pPr>
      <w:r>
        <w:rPr>
          <w:color w:val="auto"/>
          <w:highlight w:val="none"/>
        </w:rPr>
        <w:t>维护质量考核控制</w:t>
      </w:r>
    </w:p>
    <w:p w14:paraId="5768F4E8">
      <w:pPr>
        <w:pStyle w:val="8"/>
        <w:rPr>
          <w:color w:val="auto"/>
          <w:highlight w:val="none"/>
        </w:rPr>
      </w:pPr>
      <w:r>
        <w:rPr>
          <w:color w:val="auto"/>
          <w:highlight w:val="none"/>
        </w:rPr>
        <w:t>故障级别定义</w:t>
      </w:r>
    </w:p>
    <w:p w14:paraId="04C5312F">
      <w:pPr>
        <w:pStyle w:val="42"/>
        <w:numPr>
          <w:ilvl w:val="0"/>
          <w:numId w:val="7"/>
        </w:numPr>
        <w:spacing w:line="360" w:lineRule="auto"/>
        <w:ind w:left="902" w:firstLineChars="0"/>
        <w:rPr>
          <w:rFonts w:ascii="宋体" w:hAnsi="宋体" w:cs="宋体"/>
          <w:color w:val="auto"/>
          <w:szCs w:val="21"/>
          <w:highlight w:val="none"/>
        </w:rPr>
      </w:pPr>
      <w:r>
        <w:rPr>
          <w:rFonts w:ascii="宋体" w:hAnsi="宋体" w:cs="宋体"/>
          <w:color w:val="auto"/>
          <w:szCs w:val="21"/>
          <w:highlight w:val="none"/>
        </w:rPr>
        <w:t>A+</w:t>
      </w:r>
      <w:r>
        <w:rPr>
          <w:rFonts w:hint="eastAsia" w:ascii="宋体" w:hAnsi="宋体" w:cs="宋体"/>
          <w:color w:val="auto"/>
          <w:szCs w:val="21"/>
          <w:highlight w:val="none"/>
        </w:rPr>
        <w:t>级故障即特别重大故障：</w:t>
      </w:r>
      <w:r>
        <w:rPr>
          <w:rFonts w:hint="eastAsia"/>
          <w:color w:val="auto"/>
          <w:highlight w:val="none"/>
          <w:lang w:val="en-US" w:eastAsia="zh-CN"/>
        </w:rPr>
        <w:t>营业厅配套设备</w:t>
      </w:r>
      <w:r>
        <w:rPr>
          <w:rFonts w:hint="eastAsia" w:ascii="宋体" w:hAnsi="宋体" w:cs="宋体"/>
          <w:color w:val="auto"/>
          <w:szCs w:val="21"/>
          <w:highlight w:val="none"/>
        </w:rPr>
        <w:t>出现严重故障如终端漏电、完全瘫痪无法使用等</w:t>
      </w:r>
    </w:p>
    <w:p w14:paraId="5C61EA2E">
      <w:pPr>
        <w:pStyle w:val="42"/>
        <w:numPr>
          <w:ilvl w:val="0"/>
          <w:numId w:val="7"/>
        </w:numPr>
        <w:spacing w:line="360" w:lineRule="auto"/>
        <w:ind w:left="902" w:firstLineChars="0"/>
        <w:rPr>
          <w:rFonts w:ascii="宋体" w:hAnsi="宋体" w:cs="宋体"/>
          <w:color w:val="auto"/>
          <w:szCs w:val="21"/>
          <w:highlight w:val="none"/>
        </w:rPr>
      </w:pPr>
      <w:r>
        <w:rPr>
          <w:rFonts w:ascii="宋体" w:hAnsi="宋体" w:cs="宋体"/>
          <w:color w:val="auto"/>
          <w:szCs w:val="21"/>
          <w:highlight w:val="none"/>
        </w:rPr>
        <w:t>A</w:t>
      </w:r>
      <w:r>
        <w:rPr>
          <w:rFonts w:hint="eastAsia" w:ascii="宋体" w:hAnsi="宋体" w:cs="宋体"/>
          <w:color w:val="auto"/>
          <w:szCs w:val="21"/>
          <w:highlight w:val="none"/>
        </w:rPr>
        <w:t>级故障，即较大故障：如</w:t>
      </w:r>
      <w:r>
        <w:rPr>
          <w:rFonts w:hint="eastAsia"/>
          <w:color w:val="auto"/>
          <w:highlight w:val="none"/>
          <w:lang w:val="en-US" w:eastAsia="zh-CN"/>
        </w:rPr>
        <w:t>营业厅配套设备</w:t>
      </w:r>
      <w:r>
        <w:rPr>
          <w:rFonts w:hint="eastAsia" w:ascii="宋体" w:hAnsi="宋体" w:cs="宋体"/>
          <w:color w:val="auto"/>
          <w:szCs w:val="21"/>
          <w:highlight w:val="none"/>
        </w:rPr>
        <w:t>死机、触摸失灵界面无法操作等</w:t>
      </w:r>
    </w:p>
    <w:p w14:paraId="3D331AA3">
      <w:pPr>
        <w:pStyle w:val="42"/>
        <w:numPr>
          <w:ilvl w:val="0"/>
          <w:numId w:val="7"/>
        </w:numPr>
        <w:spacing w:line="360" w:lineRule="auto"/>
        <w:ind w:left="902" w:firstLineChars="0"/>
        <w:rPr>
          <w:rFonts w:ascii="宋体" w:hAnsi="宋体" w:cs="宋体"/>
          <w:color w:val="auto"/>
          <w:szCs w:val="21"/>
          <w:highlight w:val="none"/>
        </w:rPr>
      </w:pPr>
      <w:r>
        <w:rPr>
          <w:rFonts w:ascii="宋体" w:hAnsi="宋体" w:cs="宋体"/>
          <w:color w:val="auto"/>
          <w:szCs w:val="21"/>
          <w:highlight w:val="none"/>
        </w:rPr>
        <w:t>B+</w:t>
      </w:r>
      <w:r>
        <w:rPr>
          <w:rFonts w:hint="eastAsia" w:ascii="宋体" w:hAnsi="宋体" w:cs="宋体"/>
          <w:color w:val="auto"/>
          <w:szCs w:val="21"/>
          <w:highlight w:val="none"/>
        </w:rPr>
        <w:t>级故障，即重要故障：业务模块无法使用，如打印机错误、显示屏失真、读卡器故障、触摸界面响应迟缓等</w:t>
      </w:r>
    </w:p>
    <w:p w14:paraId="0310128F">
      <w:pPr>
        <w:pStyle w:val="42"/>
        <w:numPr>
          <w:ilvl w:val="0"/>
          <w:numId w:val="7"/>
        </w:numPr>
        <w:spacing w:line="360" w:lineRule="auto"/>
        <w:ind w:left="902" w:firstLineChars="0"/>
        <w:rPr>
          <w:rFonts w:ascii="宋体" w:hAnsi="宋体" w:cs="宋体"/>
          <w:color w:val="auto"/>
          <w:szCs w:val="21"/>
          <w:highlight w:val="none"/>
        </w:rPr>
      </w:pPr>
      <w:r>
        <w:rPr>
          <w:rFonts w:ascii="宋体" w:hAnsi="宋体" w:cs="宋体"/>
          <w:color w:val="auto"/>
          <w:szCs w:val="21"/>
          <w:highlight w:val="none"/>
        </w:rPr>
        <w:t>B</w:t>
      </w:r>
      <w:r>
        <w:rPr>
          <w:rFonts w:hint="eastAsia" w:ascii="宋体" w:hAnsi="宋体" w:cs="宋体"/>
          <w:color w:val="auto"/>
          <w:szCs w:val="21"/>
          <w:highlight w:val="none"/>
        </w:rPr>
        <w:t>级故障，即一般故障：</w:t>
      </w:r>
      <w:r>
        <w:rPr>
          <w:rFonts w:hint="eastAsia"/>
          <w:color w:val="auto"/>
          <w:highlight w:val="none"/>
          <w:lang w:val="en-US" w:eastAsia="zh-CN"/>
        </w:rPr>
        <w:t>营业厅配套设备</w:t>
      </w:r>
      <w:r>
        <w:rPr>
          <w:rFonts w:hint="eastAsia" w:ascii="宋体" w:hAnsi="宋体" w:cs="宋体"/>
          <w:color w:val="auto"/>
          <w:szCs w:val="21"/>
          <w:highlight w:val="none"/>
        </w:rPr>
        <w:t>运行缓慢、故障、偶尔自动重启等</w:t>
      </w:r>
    </w:p>
    <w:p w14:paraId="6AF0D232">
      <w:pPr>
        <w:pStyle w:val="42"/>
        <w:numPr>
          <w:ilvl w:val="0"/>
          <w:numId w:val="7"/>
        </w:numPr>
        <w:spacing w:line="360" w:lineRule="auto"/>
        <w:ind w:left="902" w:firstLineChars="0"/>
        <w:rPr>
          <w:rFonts w:ascii="宋体" w:hAnsi="宋体" w:cs="宋体"/>
          <w:color w:val="auto"/>
          <w:szCs w:val="21"/>
          <w:highlight w:val="none"/>
        </w:rPr>
      </w:pPr>
      <w:r>
        <w:rPr>
          <w:rFonts w:ascii="宋体" w:hAnsi="宋体" w:cs="宋体"/>
          <w:color w:val="auto"/>
          <w:szCs w:val="21"/>
          <w:highlight w:val="none"/>
        </w:rPr>
        <w:t>C+</w:t>
      </w:r>
      <w:r>
        <w:rPr>
          <w:rFonts w:hint="eastAsia" w:ascii="宋体" w:hAnsi="宋体" w:cs="宋体"/>
          <w:color w:val="auto"/>
          <w:szCs w:val="21"/>
          <w:highlight w:val="none"/>
        </w:rPr>
        <w:t>级故障，即轻微故障：如</w:t>
      </w:r>
      <w:r>
        <w:rPr>
          <w:rFonts w:hint="eastAsia"/>
          <w:color w:val="auto"/>
          <w:highlight w:val="none"/>
          <w:lang w:val="en-US" w:eastAsia="zh-CN"/>
        </w:rPr>
        <w:t>营业厅配套设备</w:t>
      </w:r>
      <w:r>
        <w:rPr>
          <w:rFonts w:hint="eastAsia" w:ascii="宋体" w:hAnsi="宋体" w:cs="宋体"/>
          <w:color w:val="auto"/>
          <w:szCs w:val="21"/>
          <w:highlight w:val="none"/>
        </w:rPr>
        <w:t>发出异响但不影响业务办理、软件更新不成功等</w:t>
      </w:r>
    </w:p>
    <w:p w14:paraId="1BFC97EA">
      <w:pPr>
        <w:pStyle w:val="42"/>
        <w:numPr>
          <w:ilvl w:val="0"/>
          <w:numId w:val="7"/>
        </w:numPr>
        <w:spacing w:line="360" w:lineRule="auto"/>
        <w:ind w:left="902" w:firstLineChars="0"/>
        <w:rPr>
          <w:rFonts w:ascii="宋体" w:hAnsi="宋体" w:cs="宋体"/>
          <w:color w:val="auto"/>
          <w:szCs w:val="21"/>
          <w:highlight w:val="none"/>
        </w:rPr>
      </w:pPr>
      <w:r>
        <w:rPr>
          <w:rFonts w:ascii="宋体" w:hAnsi="宋体" w:cs="宋体"/>
          <w:color w:val="auto"/>
          <w:szCs w:val="21"/>
          <w:highlight w:val="none"/>
        </w:rPr>
        <w:t>C</w:t>
      </w:r>
      <w:r>
        <w:rPr>
          <w:rFonts w:hint="eastAsia" w:ascii="宋体" w:hAnsi="宋体" w:cs="宋体"/>
          <w:color w:val="auto"/>
          <w:szCs w:val="21"/>
          <w:highlight w:val="none"/>
        </w:rPr>
        <w:t>级故障，即细微故障：如提示标识脱落、</w:t>
      </w:r>
      <w:r>
        <w:rPr>
          <w:rFonts w:hint="eastAsia"/>
          <w:color w:val="auto"/>
          <w:highlight w:val="none"/>
          <w:lang w:val="en-US" w:eastAsia="zh-CN"/>
        </w:rPr>
        <w:t>营业厅配套设备</w:t>
      </w:r>
      <w:r>
        <w:rPr>
          <w:rFonts w:hint="eastAsia" w:ascii="宋体" w:hAnsi="宋体" w:cs="宋体"/>
          <w:color w:val="auto"/>
          <w:szCs w:val="21"/>
          <w:highlight w:val="none"/>
        </w:rPr>
        <w:t>摆放不平等</w:t>
      </w:r>
    </w:p>
    <w:p w14:paraId="0E2E03C1">
      <w:pPr>
        <w:pStyle w:val="8"/>
        <w:rPr>
          <w:color w:val="auto"/>
          <w:highlight w:val="none"/>
        </w:rPr>
      </w:pPr>
      <w:r>
        <w:rPr>
          <w:color w:val="auto"/>
          <w:highlight w:val="none"/>
        </w:rPr>
        <w:t>维护质量考核要求</w:t>
      </w:r>
    </w:p>
    <w:p w14:paraId="3C7D7F31">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A+、A、B+、B级故障，必须严格按照故障响应规定的时间内处理完成。如果处理时间超过</w:t>
      </w:r>
      <w:r>
        <w:rPr>
          <w:rFonts w:hint="eastAsia" w:ascii="宋体" w:hAnsi="宋体" w:cs="宋体"/>
          <w:color w:val="auto"/>
          <w:szCs w:val="21"/>
          <w:highlight w:val="none"/>
          <w:lang w:val="en-US" w:eastAsia="zh-CN"/>
        </w:rPr>
        <w:t>约定时间</w:t>
      </w:r>
      <w:r>
        <w:rPr>
          <w:rFonts w:hint="eastAsia" w:ascii="宋体" w:hAnsi="宋体" w:cs="宋体"/>
          <w:color w:val="auto"/>
          <w:szCs w:val="21"/>
          <w:highlight w:val="none"/>
        </w:rPr>
        <w:t>不能排除故障的必须</w:t>
      </w:r>
      <w:r>
        <w:rPr>
          <w:rFonts w:hint="eastAsia" w:ascii="宋体" w:hAnsi="宋体" w:cs="宋体"/>
          <w:color w:val="auto"/>
          <w:szCs w:val="21"/>
          <w:highlight w:val="none"/>
          <w:lang w:eastAsia="zh-CN"/>
        </w:rPr>
        <w:t>及时</w:t>
      </w:r>
      <w:r>
        <w:rPr>
          <w:rFonts w:hint="eastAsia" w:ascii="宋体" w:hAnsi="宋体" w:cs="宋体"/>
          <w:color w:val="auto"/>
          <w:szCs w:val="21"/>
          <w:highlight w:val="none"/>
        </w:rPr>
        <w:t>向</w:t>
      </w:r>
      <w:r>
        <w:rPr>
          <w:rFonts w:hint="eastAsia" w:ascii="宋体" w:hAnsi="宋体" w:cs="宋体"/>
          <w:color w:val="auto"/>
          <w:szCs w:val="21"/>
          <w:highlight w:val="none"/>
          <w:lang w:val="en-US" w:eastAsia="zh-CN"/>
        </w:rPr>
        <w:t>招标人</w:t>
      </w:r>
      <w:r>
        <w:rPr>
          <w:rFonts w:hint="eastAsia" w:ascii="宋体" w:hAnsi="宋体" w:cs="宋体"/>
          <w:color w:val="auto"/>
          <w:szCs w:val="21"/>
          <w:highlight w:val="none"/>
          <w:lang w:eastAsia="zh-CN"/>
        </w:rPr>
        <w:t>及现场营业场所负责人</w:t>
      </w:r>
      <w:r>
        <w:rPr>
          <w:rFonts w:hint="eastAsia" w:ascii="宋体" w:hAnsi="宋体" w:cs="宋体"/>
          <w:color w:val="auto"/>
          <w:szCs w:val="21"/>
          <w:highlight w:val="none"/>
        </w:rPr>
        <w:t>汇报</w:t>
      </w:r>
      <w:r>
        <w:rPr>
          <w:rFonts w:hint="eastAsia" w:ascii="宋体" w:hAnsi="宋体" w:cs="宋体"/>
          <w:color w:val="auto"/>
          <w:szCs w:val="21"/>
          <w:highlight w:val="none"/>
          <w:lang w:eastAsia="zh-CN"/>
        </w:rPr>
        <w:t>及预判修复时间。事后应就该情况向招标人提交书面汇报，并在报告中体现</w:t>
      </w:r>
      <w:r>
        <w:rPr>
          <w:rFonts w:hint="eastAsia" w:ascii="宋体" w:hAnsi="宋体" w:cs="宋体"/>
          <w:color w:val="auto"/>
          <w:szCs w:val="21"/>
          <w:highlight w:val="none"/>
        </w:rPr>
        <w:t xml:space="preserve">。 </w:t>
      </w:r>
    </w:p>
    <w:p w14:paraId="33D5044C">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C+、C级故障，如果处理时间超过</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4小时不能排除故障的必须以口头形式向</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汇报，并承诺最迟修复时间待</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批准。</w:t>
      </w:r>
    </w:p>
    <w:p w14:paraId="0868BEC0">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维护质量监督：</w:t>
      </w:r>
    </w:p>
    <w:p w14:paraId="21A5BD07">
      <w:pPr>
        <w:pStyle w:val="42"/>
        <w:numPr>
          <w:ilvl w:val="0"/>
          <w:numId w:val="7"/>
        </w:numPr>
        <w:spacing w:line="360" w:lineRule="auto"/>
        <w:ind w:left="902" w:firstLineChars="0"/>
        <w:rPr>
          <w:rFonts w:hint="eastAsia" w:ascii="宋体" w:hAnsi="宋体" w:cs="宋体"/>
          <w:color w:val="auto"/>
          <w:szCs w:val="21"/>
          <w:highlight w:val="none"/>
        </w:rPr>
      </w:pPr>
      <w:r>
        <w:rPr>
          <w:rFonts w:hint="eastAsia" w:ascii="宋体" w:hAnsi="宋体" w:cs="宋体"/>
          <w:color w:val="auto"/>
          <w:szCs w:val="21"/>
          <w:highlight w:val="none"/>
        </w:rPr>
        <w:t>A+、A级故障一个月内（A+级整体</w:t>
      </w:r>
      <w:r>
        <w:rPr>
          <w:rFonts w:hint="eastAsia" w:ascii="宋体" w:hAnsi="宋体" w:cs="宋体"/>
          <w:color w:val="auto"/>
          <w:szCs w:val="21"/>
          <w:highlight w:val="none"/>
          <w:lang w:eastAsia="zh-CN"/>
        </w:rPr>
        <w:t>配套设备</w:t>
      </w:r>
      <w:r>
        <w:rPr>
          <w:rFonts w:hint="eastAsia" w:ascii="宋体" w:hAnsi="宋体" w:cs="宋体"/>
          <w:color w:val="auto"/>
          <w:szCs w:val="21"/>
          <w:highlight w:val="none"/>
        </w:rPr>
        <w:t>、A级单台</w:t>
      </w:r>
      <w:r>
        <w:rPr>
          <w:rFonts w:hint="eastAsia" w:ascii="宋体" w:hAnsi="宋体" w:cs="宋体"/>
          <w:color w:val="auto"/>
          <w:szCs w:val="21"/>
          <w:highlight w:val="none"/>
          <w:lang w:eastAsia="zh-CN"/>
        </w:rPr>
        <w:t>设备</w:t>
      </w:r>
      <w:r>
        <w:rPr>
          <w:rFonts w:hint="eastAsia" w:ascii="宋体" w:hAnsi="宋体" w:cs="宋体"/>
          <w:color w:val="auto"/>
          <w:szCs w:val="21"/>
          <w:highlight w:val="none"/>
        </w:rPr>
        <w:t>）不出现2次上；</w:t>
      </w:r>
    </w:p>
    <w:p w14:paraId="3FDEAE29">
      <w:pPr>
        <w:pStyle w:val="42"/>
        <w:numPr>
          <w:ilvl w:val="0"/>
          <w:numId w:val="7"/>
        </w:numPr>
        <w:spacing w:line="360" w:lineRule="auto"/>
        <w:ind w:left="902" w:firstLineChars="0"/>
        <w:rPr>
          <w:rFonts w:hint="eastAsia" w:ascii="宋体" w:hAnsi="宋体" w:cs="宋体"/>
          <w:color w:val="auto"/>
          <w:szCs w:val="21"/>
          <w:highlight w:val="none"/>
        </w:rPr>
      </w:pPr>
      <w:r>
        <w:rPr>
          <w:rFonts w:hint="eastAsia" w:ascii="宋体" w:hAnsi="宋体" w:cs="宋体"/>
          <w:color w:val="auto"/>
          <w:szCs w:val="21"/>
          <w:highlight w:val="none"/>
        </w:rPr>
        <w:t>B+、B级故障一个星期内（单台</w:t>
      </w:r>
      <w:r>
        <w:rPr>
          <w:rFonts w:hint="eastAsia" w:ascii="宋体" w:hAnsi="宋体" w:cs="宋体"/>
          <w:color w:val="auto"/>
          <w:szCs w:val="21"/>
          <w:highlight w:val="none"/>
          <w:lang w:eastAsia="zh-CN"/>
        </w:rPr>
        <w:t>设备</w:t>
      </w:r>
      <w:r>
        <w:rPr>
          <w:rFonts w:hint="eastAsia" w:ascii="宋体" w:hAnsi="宋体" w:cs="宋体"/>
          <w:color w:val="auto"/>
          <w:szCs w:val="21"/>
          <w:highlight w:val="none"/>
        </w:rPr>
        <w:t>）不出现2次以上；</w:t>
      </w:r>
    </w:p>
    <w:p w14:paraId="1B2D9A4E">
      <w:pPr>
        <w:pStyle w:val="42"/>
        <w:numPr>
          <w:ilvl w:val="0"/>
          <w:numId w:val="7"/>
        </w:numPr>
        <w:spacing w:line="360" w:lineRule="auto"/>
        <w:ind w:left="902" w:firstLineChars="0"/>
        <w:rPr>
          <w:rFonts w:hint="eastAsia" w:ascii="宋体" w:hAnsi="宋体" w:cs="宋体"/>
          <w:color w:val="auto"/>
          <w:szCs w:val="21"/>
          <w:highlight w:val="none"/>
        </w:rPr>
      </w:pPr>
      <w:r>
        <w:rPr>
          <w:rFonts w:hint="eastAsia" w:ascii="宋体" w:hAnsi="宋体" w:cs="宋体"/>
          <w:color w:val="auto"/>
          <w:szCs w:val="21"/>
          <w:highlight w:val="none"/>
        </w:rPr>
        <w:t>C+、C级故障一个星期内（单台</w:t>
      </w:r>
      <w:r>
        <w:rPr>
          <w:rFonts w:hint="eastAsia" w:ascii="宋体" w:hAnsi="宋体" w:cs="宋体"/>
          <w:color w:val="auto"/>
          <w:szCs w:val="21"/>
          <w:highlight w:val="none"/>
          <w:lang w:eastAsia="zh-CN"/>
        </w:rPr>
        <w:t>设备</w:t>
      </w:r>
      <w:r>
        <w:rPr>
          <w:rFonts w:hint="eastAsia" w:ascii="宋体" w:hAnsi="宋体" w:cs="宋体"/>
          <w:color w:val="auto"/>
          <w:szCs w:val="21"/>
          <w:highlight w:val="none"/>
        </w:rPr>
        <w:t>）不出现3次以上；</w:t>
      </w:r>
    </w:p>
    <w:p w14:paraId="0AD103F1">
      <w:pPr>
        <w:pStyle w:val="42"/>
        <w:numPr>
          <w:ilvl w:val="0"/>
          <w:numId w:val="7"/>
        </w:numPr>
        <w:spacing w:line="360" w:lineRule="auto"/>
        <w:ind w:left="902" w:firstLineChars="0"/>
        <w:rPr>
          <w:rFonts w:hint="eastAsia" w:ascii="宋体" w:hAnsi="宋体" w:cs="宋体"/>
          <w:color w:val="auto"/>
          <w:szCs w:val="21"/>
          <w:highlight w:val="none"/>
        </w:rPr>
      </w:pPr>
      <w:r>
        <w:rPr>
          <w:rFonts w:hint="eastAsia" w:ascii="宋体" w:hAnsi="宋体" w:cs="宋体"/>
          <w:color w:val="auto"/>
          <w:szCs w:val="21"/>
          <w:highlight w:val="none"/>
        </w:rPr>
        <w:t>一个月内单台</w:t>
      </w:r>
      <w:r>
        <w:rPr>
          <w:rFonts w:hint="eastAsia" w:ascii="宋体" w:hAnsi="宋体" w:cs="宋体"/>
          <w:color w:val="auto"/>
          <w:szCs w:val="21"/>
          <w:highlight w:val="none"/>
          <w:lang w:eastAsia="zh-CN"/>
        </w:rPr>
        <w:t>设备</w:t>
      </w:r>
      <w:r>
        <w:rPr>
          <w:rFonts w:hint="eastAsia" w:ascii="宋体" w:hAnsi="宋体" w:cs="宋体"/>
          <w:color w:val="auto"/>
          <w:szCs w:val="21"/>
          <w:highlight w:val="none"/>
        </w:rPr>
        <w:t>的故障次数不超过3次（含重复故障）；</w:t>
      </w:r>
    </w:p>
    <w:p w14:paraId="293F7D91">
      <w:pPr>
        <w:pStyle w:val="42"/>
        <w:numPr>
          <w:ilvl w:val="0"/>
          <w:numId w:val="7"/>
        </w:numPr>
        <w:spacing w:line="360" w:lineRule="auto"/>
        <w:ind w:left="902" w:firstLineChars="0"/>
        <w:rPr>
          <w:rFonts w:hint="eastAsia" w:ascii="宋体" w:hAnsi="宋体" w:cs="宋体"/>
          <w:color w:val="auto"/>
          <w:szCs w:val="21"/>
          <w:highlight w:val="none"/>
        </w:rPr>
      </w:pPr>
      <w:r>
        <w:rPr>
          <w:rFonts w:hint="eastAsia" w:ascii="宋体" w:hAnsi="宋体" w:cs="宋体"/>
          <w:color w:val="auto"/>
          <w:szCs w:val="21"/>
          <w:highlight w:val="none"/>
        </w:rPr>
        <w:t>一个月内单台</w:t>
      </w:r>
      <w:r>
        <w:rPr>
          <w:rFonts w:hint="eastAsia" w:ascii="宋体" w:hAnsi="宋体" w:cs="宋体"/>
          <w:color w:val="auto"/>
          <w:szCs w:val="21"/>
          <w:highlight w:val="none"/>
          <w:lang w:eastAsia="zh-CN"/>
        </w:rPr>
        <w:t>设备</w:t>
      </w:r>
      <w:r>
        <w:rPr>
          <w:rFonts w:hint="eastAsia" w:ascii="宋体" w:hAnsi="宋体" w:cs="宋体"/>
          <w:color w:val="auto"/>
          <w:szCs w:val="21"/>
          <w:highlight w:val="none"/>
        </w:rPr>
        <w:t>的重复故障不超过3次；</w:t>
      </w:r>
    </w:p>
    <w:p w14:paraId="592F3C70">
      <w:pPr>
        <w:pStyle w:val="42"/>
        <w:numPr>
          <w:ilvl w:val="0"/>
          <w:numId w:val="7"/>
        </w:numPr>
        <w:spacing w:line="360" w:lineRule="auto"/>
        <w:ind w:left="902" w:firstLineChars="0"/>
        <w:rPr>
          <w:rFonts w:hint="eastAsia" w:ascii="宋体" w:hAnsi="宋体" w:cs="宋体"/>
          <w:color w:val="auto"/>
          <w:szCs w:val="21"/>
          <w:highlight w:val="none"/>
        </w:rPr>
      </w:pPr>
      <w:r>
        <w:rPr>
          <w:rFonts w:hint="eastAsia" w:ascii="宋体" w:hAnsi="宋体" w:cs="宋体"/>
          <w:color w:val="auto"/>
          <w:szCs w:val="21"/>
          <w:highlight w:val="none"/>
        </w:rPr>
        <w:t>一个月内超时处理故障的次数不超过3次；</w:t>
      </w:r>
    </w:p>
    <w:p w14:paraId="53F12078">
      <w:pPr>
        <w:pStyle w:val="42"/>
        <w:numPr>
          <w:ilvl w:val="0"/>
          <w:numId w:val="7"/>
        </w:numPr>
        <w:spacing w:line="360" w:lineRule="auto"/>
        <w:ind w:left="902" w:firstLineChars="0"/>
        <w:rPr>
          <w:rFonts w:hint="eastAsia" w:ascii="宋体" w:hAnsi="宋体" w:cs="宋体"/>
          <w:color w:val="auto"/>
          <w:szCs w:val="21"/>
          <w:highlight w:val="none"/>
        </w:rPr>
      </w:pPr>
      <w:r>
        <w:rPr>
          <w:rFonts w:hint="eastAsia" w:ascii="宋体" w:hAnsi="宋体" w:cs="宋体"/>
          <w:color w:val="auto"/>
          <w:szCs w:val="21"/>
          <w:highlight w:val="none"/>
        </w:rPr>
        <w:t>故障处理的过程中不得出现人为失误导致新增故障。</w:t>
      </w:r>
    </w:p>
    <w:p w14:paraId="28336167">
      <w:pPr>
        <w:pStyle w:val="7"/>
        <w:rPr>
          <w:color w:val="auto"/>
          <w:highlight w:val="none"/>
        </w:rPr>
      </w:pPr>
      <w:r>
        <w:rPr>
          <w:rFonts w:hint="eastAsia"/>
          <w:color w:val="auto"/>
          <w:highlight w:val="none"/>
        </w:rPr>
        <w:t>投诉处理要求</w:t>
      </w:r>
    </w:p>
    <w:p w14:paraId="481D4B8B">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当发生属地营业场所对</w:t>
      </w:r>
      <w:r>
        <w:rPr>
          <w:rFonts w:hint="eastAsia"/>
          <w:color w:val="auto"/>
          <w:highlight w:val="none"/>
          <w:lang w:val="en-US" w:eastAsia="zh-CN"/>
        </w:rPr>
        <w:t>营业厅配套设备</w:t>
      </w:r>
      <w:r>
        <w:rPr>
          <w:rFonts w:hint="eastAsia" w:ascii="宋体" w:hAnsi="宋体" w:cs="宋体"/>
          <w:color w:val="auto"/>
          <w:szCs w:val="21"/>
          <w:highlight w:val="none"/>
        </w:rPr>
        <w:t>故障处理进行投诉时，中标方应由项目经理联系属地营业场所负责人了解投诉内容，并根据投诉内容分析原因，并上报招标人管理部门。同时按投诉情况积极调配资源（安排运维人员、协调配件生产商）进行处理。由招标人对投诉处理过程进行督办跟踪，中标方处理完成后需对发起投诉的属地营业场所负责人进行回访，确保投诉方对处理结果满意并主动撤诉后方可视为结单。</w:t>
      </w:r>
    </w:p>
    <w:p w14:paraId="19D101A4">
      <w:pPr>
        <w:pStyle w:val="6"/>
        <w:rPr>
          <w:color w:val="auto"/>
          <w:highlight w:val="none"/>
        </w:rPr>
      </w:pPr>
      <w:bookmarkStart w:id="114" w:name="_Toc30472"/>
      <w:r>
        <w:rPr>
          <w:rFonts w:hint="eastAsia"/>
          <w:color w:val="auto"/>
          <w:highlight w:val="none"/>
        </w:rPr>
        <w:t>网络攻防演练专项要求</w:t>
      </w:r>
      <w:bookmarkEnd w:id="114"/>
    </w:p>
    <w:p w14:paraId="640AA51A">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为保证广州供电局网络安全攻防演练工作顺利开展，保证在演练期间系统及</w:t>
      </w:r>
      <w:r>
        <w:rPr>
          <w:rFonts w:hint="eastAsia"/>
          <w:color w:val="auto"/>
          <w:highlight w:val="none"/>
          <w:lang w:val="en-US" w:eastAsia="zh-CN"/>
        </w:rPr>
        <w:t>营业厅配套设备</w:t>
      </w:r>
      <w:r>
        <w:rPr>
          <w:rFonts w:hint="eastAsia" w:ascii="宋体" w:hAnsi="宋体"/>
          <w:color w:val="auto"/>
          <w:spacing w:val="6"/>
          <w:szCs w:val="21"/>
          <w:highlight w:val="none"/>
        </w:rPr>
        <w:t>正常运行，必须从</w:t>
      </w:r>
      <w:r>
        <w:rPr>
          <w:rFonts w:hint="eastAsia"/>
          <w:color w:val="auto"/>
          <w:highlight w:val="none"/>
          <w:lang w:val="en-US" w:eastAsia="zh-CN"/>
        </w:rPr>
        <w:t>营业厅配套设备</w:t>
      </w:r>
      <w:r>
        <w:rPr>
          <w:rFonts w:hint="eastAsia" w:ascii="宋体" w:hAnsi="宋体"/>
          <w:color w:val="auto"/>
          <w:spacing w:val="6"/>
          <w:szCs w:val="21"/>
          <w:highlight w:val="none"/>
        </w:rPr>
        <w:t>物理管控、系统及应用安全防护、服务人员管理、社工攻击防控等方面，加强对系统及</w:t>
      </w:r>
      <w:r>
        <w:rPr>
          <w:rFonts w:hint="eastAsia"/>
          <w:color w:val="auto"/>
          <w:highlight w:val="none"/>
          <w:lang w:val="en-US" w:eastAsia="zh-CN"/>
        </w:rPr>
        <w:t>营业厅配套设备</w:t>
      </w:r>
      <w:r>
        <w:rPr>
          <w:rFonts w:hint="eastAsia" w:ascii="宋体" w:hAnsi="宋体"/>
          <w:color w:val="auto"/>
          <w:spacing w:val="6"/>
          <w:szCs w:val="21"/>
          <w:highlight w:val="none"/>
        </w:rPr>
        <w:t>的安全管理。</w:t>
      </w:r>
    </w:p>
    <w:p w14:paraId="34F95FCC">
      <w:pPr>
        <w:pStyle w:val="7"/>
        <w:rPr>
          <w:color w:val="auto"/>
          <w:highlight w:val="none"/>
        </w:rPr>
      </w:pPr>
      <w:r>
        <w:rPr>
          <w:rFonts w:hint="eastAsia"/>
          <w:color w:val="auto"/>
          <w:highlight w:val="none"/>
        </w:rPr>
        <w:t>设备物理管控</w:t>
      </w:r>
    </w:p>
    <w:p w14:paraId="30AED8F1">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加强对</w:t>
      </w:r>
      <w:r>
        <w:rPr>
          <w:rFonts w:hint="eastAsia"/>
          <w:color w:val="auto"/>
          <w:highlight w:val="none"/>
          <w:lang w:val="en-US" w:eastAsia="zh-CN"/>
        </w:rPr>
        <w:t>营业厅配套设备</w:t>
      </w:r>
      <w:r>
        <w:rPr>
          <w:rFonts w:hint="eastAsia" w:ascii="宋体" w:hAnsi="宋体"/>
          <w:color w:val="auto"/>
          <w:spacing w:val="6"/>
          <w:szCs w:val="21"/>
          <w:highlight w:val="none"/>
        </w:rPr>
        <w:t>物理管理，具体要求如下：</w:t>
      </w:r>
    </w:p>
    <w:p w14:paraId="72354E07">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1、启用移动介质管控，禁止使用外来移动介质。</w:t>
      </w:r>
    </w:p>
    <w:p w14:paraId="214F7934">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2、检查</w:t>
      </w:r>
      <w:r>
        <w:rPr>
          <w:rFonts w:hint="eastAsia"/>
          <w:color w:val="auto"/>
          <w:highlight w:val="none"/>
          <w:lang w:val="en-US" w:eastAsia="zh-CN"/>
        </w:rPr>
        <w:t>营业厅配套设备</w:t>
      </w:r>
      <w:r>
        <w:rPr>
          <w:rFonts w:hint="eastAsia" w:ascii="宋体" w:hAnsi="宋体"/>
          <w:color w:val="auto"/>
          <w:spacing w:val="6"/>
          <w:szCs w:val="21"/>
          <w:highlight w:val="none"/>
        </w:rPr>
        <w:t>物理锁，及时修复或更换损坏的物理锁。</w:t>
      </w:r>
    </w:p>
    <w:p w14:paraId="5245D3DD">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3、</w:t>
      </w:r>
      <w:r>
        <w:rPr>
          <w:rFonts w:hint="eastAsia"/>
          <w:color w:val="auto"/>
          <w:highlight w:val="none"/>
          <w:lang w:val="en-US" w:eastAsia="zh-CN"/>
        </w:rPr>
        <w:t>营业厅配套设备</w:t>
      </w:r>
      <w:r>
        <w:rPr>
          <w:rFonts w:hint="eastAsia" w:ascii="宋体" w:hAnsi="宋体"/>
          <w:color w:val="auto"/>
          <w:spacing w:val="6"/>
          <w:szCs w:val="21"/>
          <w:highlight w:val="none"/>
        </w:rPr>
        <w:t>外设接口、鼠标、键盘等不得裸露在外，必须拆除或锁入机柜。</w:t>
      </w:r>
    </w:p>
    <w:p w14:paraId="6207EA3E">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4、</w:t>
      </w:r>
      <w:r>
        <w:rPr>
          <w:rFonts w:hint="eastAsia"/>
          <w:color w:val="auto"/>
          <w:highlight w:val="none"/>
          <w:lang w:val="en-US" w:eastAsia="zh-CN"/>
        </w:rPr>
        <w:t>营业厅配套设备</w:t>
      </w:r>
      <w:r>
        <w:rPr>
          <w:rFonts w:hint="eastAsia" w:ascii="宋体" w:hAnsi="宋体"/>
          <w:color w:val="auto"/>
          <w:spacing w:val="6"/>
          <w:szCs w:val="21"/>
          <w:highlight w:val="none"/>
        </w:rPr>
        <w:t>的网口应收入机体内部，前台界面不得预留、遗漏进入本机操作系统界面的“特殊途径”。（即，除非通过使用外置键盘，否则不可有机会进入</w:t>
      </w:r>
      <w:r>
        <w:rPr>
          <w:rFonts w:hint="eastAsia" w:ascii="宋体" w:hAnsi="宋体"/>
          <w:color w:val="auto"/>
          <w:spacing w:val="6"/>
          <w:szCs w:val="21"/>
          <w:highlight w:val="none"/>
          <w:lang w:eastAsia="zh-CN"/>
        </w:rPr>
        <w:t>操作系统</w:t>
      </w:r>
      <w:r>
        <w:rPr>
          <w:rFonts w:hint="eastAsia" w:ascii="宋体" w:hAnsi="宋体"/>
          <w:color w:val="auto"/>
          <w:spacing w:val="6"/>
          <w:szCs w:val="21"/>
          <w:highlight w:val="none"/>
        </w:rPr>
        <w:t>界面。）</w:t>
      </w:r>
    </w:p>
    <w:p w14:paraId="437607C4">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5、</w:t>
      </w:r>
      <w:r>
        <w:rPr>
          <w:rFonts w:hint="eastAsia"/>
          <w:color w:val="auto"/>
          <w:highlight w:val="none"/>
          <w:lang w:val="en-US" w:eastAsia="zh-CN"/>
        </w:rPr>
        <w:t>营业厅配套设备</w:t>
      </w:r>
      <w:r>
        <w:rPr>
          <w:rFonts w:hint="eastAsia" w:ascii="宋体" w:hAnsi="宋体"/>
          <w:color w:val="auto"/>
          <w:spacing w:val="6"/>
          <w:szCs w:val="21"/>
          <w:highlight w:val="none"/>
        </w:rPr>
        <w:t>密码必须修改，不用有规律、统一的密码、符合复杂度要求。</w:t>
      </w:r>
    </w:p>
    <w:p w14:paraId="38ED25C6">
      <w:pPr>
        <w:spacing w:line="360" w:lineRule="auto"/>
        <w:ind w:firstLine="444" w:firstLineChars="200"/>
        <w:rPr>
          <w:rFonts w:ascii="宋体" w:hAnsi="宋体"/>
          <w:color w:val="auto"/>
          <w:spacing w:val="6"/>
          <w:szCs w:val="21"/>
          <w:highlight w:val="none"/>
        </w:rPr>
      </w:pPr>
      <w:r>
        <w:rPr>
          <w:rFonts w:ascii="宋体" w:hAnsi="宋体"/>
          <w:color w:val="auto"/>
          <w:spacing w:val="6"/>
          <w:szCs w:val="21"/>
          <w:highlight w:val="none"/>
        </w:rPr>
        <w:t>6</w:t>
      </w:r>
      <w:r>
        <w:rPr>
          <w:rFonts w:hint="eastAsia" w:ascii="宋体" w:hAnsi="宋体"/>
          <w:color w:val="auto"/>
          <w:spacing w:val="6"/>
          <w:szCs w:val="21"/>
          <w:highlight w:val="none"/>
        </w:rPr>
        <w:t>、</w:t>
      </w:r>
      <w:r>
        <w:rPr>
          <w:rFonts w:hint="eastAsia"/>
          <w:color w:val="auto"/>
          <w:highlight w:val="none"/>
          <w:lang w:val="en-US" w:eastAsia="zh-CN"/>
        </w:rPr>
        <w:t>营业厅配套设备</w:t>
      </w:r>
      <w:r>
        <w:rPr>
          <w:rFonts w:hint="eastAsia" w:ascii="宋体" w:hAnsi="宋体"/>
          <w:color w:val="auto"/>
          <w:spacing w:val="6"/>
          <w:szCs w:val="21"/>
          <w:highlight w:val="none"/>
        </w:rPr>
        <w:t>落实准入、防病毒、补丁管理、优盘管控措施。</w:t>
      </w:r>
    </w:p>
    <w:p w14:paraId="3893ABDE">
      <w:pPr>
        <w:spacing w:line="360" w:lineRule="auto"/>
        <w:ind w:firstLine="444" w:firstLineChars="200"/>
        <w:rPr>
          <w:rFonts w:ascii="宋体" w:hAnsi="宋体"/>
          <w:color w:val="auto"/>
          <w:spacing w:val="6"/>
          <w:szCs w:val="21"/>
          <w:highlight w:val="none"/>
        </w:rPr>
      </w:pPr>
      <w:r>
        <w:rPr>
          <w:rFonts w:ascii="宋体" w:hAnsi="宋体"/>
          <w:color w:val="auto"/>
          <w:spacing w:val="6"/>
          <w:szCs w:val="21"/>
          <w:highlight w:val="none"/>
        </w:rPr>
        <w:t>7</w:t>
      </w:r>
      <w:r>
        <w:rPr>
          <w:rFonts w:hint="eastAsia" w:ascii="宋体" w:hAnsi="宋体"/>
          <w:color w:val="auto"/>
          <w:spacing w:val="6"/>
          <w:szCs w:val="21"/>
          <w:highlight w:val="none"/>
        </w:rPr>
        <w:t>、严防网口外露，加强网口管理。封闭无用的端口，用封箱胶带粘贴，交换机侧关闭无用的端口。</w:t>
      </w:r>
    </w:p>
    <w:p w14:paraId="68078F3E">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8、</w:t>
      </w:r>
      <w:r>
        <w:rPr>
          <w:rFonts w:hint="eastAsia"/>
          <w:color w:val="auto"/>
          <w:highlight w:val="none"/>
          <w:lang w:val="en-US" w:eastAsia="zh-CN"/>
        </w:rPr>
        <w:t>营业厅配套设备</w:t>
      </w:r>
      <w:r>
        <w:rPr>
          <w:rFonts w:hint="eastAsia" w:ascii="宋体" w:hAnsi="宋体"/>
          <w:color w:val="auto"/>
          <w:spacing w:val="6"/>
          <w:szCs w:val="21"/>
          <w:highlight w:val="none"/>
        </w:rPr>
        <w:t>的wifi信号设置为不广播ssid，严防wifi遭暴力破解。</w:t>
      </w:r>
    </w:p>
    <w:p w14:paraId="67D5E320">
      <w:pPr>
        <w:pStyle w:val="7"/>
        <w:rPr>
          <w:color w:val="auto"/>
          <w:highlight w:val="none"/>
        </w:rPr>
      </w:pPr>
      <w:r>
        <w:rPr>
          <w:rFonts w:hint="eastAsia"/>
          <w:color w:val="auto"/>
          <w:highlight w:val="none"/>
        </w:rPr>
        <w:t>系统及应用安全防护</w:t>
      </w:r>
    </w:p>
    <w:p w14:paraId="3A9CA5F4">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加强系统及应用安全防护，具体要求如下：</w:t>
      </w:r>
    </w:p>
    <w:p w14:paraId="76126BA6">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1.启用系统用户权限管理，配置系统用户为Power Users，禁用guest、internet等来宾帐户，删除多余帐户，修改默认管理员账户。</w:t>
      </w:r>
    </w:p>
    <w:p w14:paraId="417500D6">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2.检查登录账号和密码，修改默认密码和弱口令。</w:t>
      </w:r>
    </w:p>
    <w:p w14:paraId="74413483">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3.检查操作系统，按招标人要求升级系统版本，且为正版操作系统。</w:t>
      </w:r>
    </w:p>
    <w:p w14:paraId="01F26958">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4.禁用server、远程桌面等服务。</w:t>
      </w:r>
    </w:p>
    <w:p w14:paraId="70DCDC8C">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5.封堵高危端口：TCP：135、139、445，3389；UDP：137、138等。</w:t>
      </w:r>
    </w:p>
    <w:p w14:paraId="56CA8E6A">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6.禁用远程控制软件（teamviewer、TigerVPN等）。</w:t>
      </w:r>
    </w:p>
    <w:p w14:paraId="00349B4C">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7.严控准入控制策略，仅开放必须的网络权限，严格禁止互联网访问权限。</w:t>
      </w:r>
    </w:p>
    <w:p w14:paraId="0E617636">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8.安装防病毒软件，定期更新最新版本病毒库。</w:t>
      </w:r>
    </w:p>
    <w:p w14:paraId="277D8039">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9.定期全盘扫描一次。</w:t>
      </w:r>
    </w:p>
    <w:p w14:paraId="2D6467BF">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10.系统安全补丁更新至最近3个月。</w:t>
      </w:r>
    </w:p>
    <w:p w14:paraId="053EB29E">
      <w:p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11.开启移动存储审计。</w:t>
      </w:r>
    </w:p>
    <w:p w14:paraId="7CFE303F">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lang w:val="en-US" w:eastAsia="zh-CN"/>
        </w:rPr>
        <w:t>12.启用主机安全审计，审计记录保存6个月以上。审计内容：用户的添加和删除、权限变更、用户登录退出等。</w:t>
      </w:r>
    </w:p>
    <w:p w14:paraId="7379F7E8">
      <w:pPr>
        <w:pStyle w:val="7"/>
        <w:rPr>
          <w:color w:val="auto"/>
          <w:highlight w:val="none"/>
        </w:rPr>
      </w:pPr>
      <w:r>
        <w:rPr>
          <w:rFonts w:hint="eastAsia"/>
          <w:color w:val="auto"/>
          <w:highlight w:val="none"/>
        </w:rPr>
        <w:t>服务人员管理</w:t>
      </w:r>
    </w:p>
    <w:p w14:paraId="454EB20E">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加强服务人员管理，具体要求如下：</w:t>
      </w:r>
    </w:p>
    <w:p w14:paraId="689ADFD2">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1、对工作需要的IP地址信息、网络拓扑、系统技术文档等实施加密存储。</w:t>
      </w:r>
    </w:p>
    <w:p w14:paraId="47A7AD5C">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2、全面清理暴露在互联网（微博、公众号、暗网等搜索渠道）与供电局有关的敏感信息。</w:t>
      </w:r>
    </w:p>
    <w:p w14:paraId="22F0B981">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3、对必须到现场进行服务的技术人员，建立服务人员报备制度，提前向招标人现场管理部门报备。</w:t>
      </w:r>
    </w:p>
    <w:p w14:paraId="794FD4D1">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lang w:val="en-US" w:eastAsia="zh-CN"/>
        </w:rPr>
        <w:t>4</w:t>
      </w:r>
      <w:r>
        <w:rPr>
          <w:rFonts w:hint="eastAsia" w:ascii="宋体" w:hAnsi="宋体"/>
          <w:color w:val="auto"/>
          <w:spacing w:val="6"/>
          <w:szCs w:val="21"/>
          <w:highlight w:val="none"/>
        </w:rPr>
        <w:t>、加强场所安防，措施如下：</w:t>
      </w:r>
    </w:p>
    <w:p w14:paraId="6B6A4B8C">
      <w:pPr>
        <w:spacing w:line="360" w:lineRule="auto"/>
        <w:ind w:firstLine="444" w:firstLineChars="200"/>
        <w:rPr>
          <w:rFonts w:ascii="宋体" w:hAnsi="宋体"/>
          <w:color w:val="auto"/>
          <w:spacing w:val="6"/>
          <w:szCs w:val="21"/>
          <w:highlight w:val="none"/>
        </w:rPr>
      </w:pPr>
      <w:r>
        <w:rPr>
          <w:rFonts w:ascii="宋体" w:hAnsi="宋体"/>
          <w:color w:val="auto"/>
          <w:spacing w:val="6"/>
          <w:szCs w:val="21"/>
          <w:highlight w:val="none"/>
        </w:rPr>
        <w:t>1</w:t>
      </w:r>
      <w:r>
        <w:rPr>
          <w:rFonts w:hint="eastAsia" w:ascii="宋体" w:hAnsi="宋体"/>
          <w:color w:val="auto"/>
          <w:spacing w:val="6"/>
          <w:szCs w:val="21"/>
          <w:highlight w:val="none"/>
        </w:rPr>
        <w:t>）在</w:t>
      </w:r>
      <w:r>
        <w:rPr>
          <w:rFonts w:hint="eastAsia" w:ascii="宋体" w:hAnsi="宋体"/>
          <w:color w:val="auto"/>
          <w:spacing w:val="6"/>
          <w:szCs w:val="21"/>
          <w:highlight w:val="none"/>
          <w:lang w:eastAsia="zh-CN"/>
        </w:rPr>
        <w:t>中标人</w:t>
      </w:r>
      <w:r>
        <w:rPr>
          <w:rFonts w:hint="eastAsia" w:ascii="宋体" w:hAnsi="宋体"/>
          <w:color w:val="auto"/>
          <w:spacing w:val="6"/>
          <w:szCs w:val="21"/>
          <w:highlight w:val="none"/>
        </w:rPr>
        <w:t>检修巡查期间，对在</w:t>
      </w:r>
      <w:r>
        <w:rPr>
          <w:rFonts w:hint="eastAsia"/>
          <w:color w:val="auto"/>
          <w:highlight w:val="none"/>
          <w:lang w:val="en-US" w:eastAsia="zh-CN"/>
        </w:rPr>
        <w:t>营业厅配套设备</w:t>
      </w:r>
      <w:r>
        <w:rPr>
          <w:rFonts w:hint="eastAsia" w:ascii="宋体" w:hAnsi="宋体"/>
          <w:color w:val="auto"/>
          <w:spacing w:val="6"/>
          <w:szCs w:val="21"/>
          <w:highlight w:val="none"/>
        </w:rPr>
        <w:t>前逗留超</w:t>
      </w:r>
      <w:r>
        <w:rPr>
          <w:rFonts w:hint="eastAsia" w:ascii="宋体" w:hAnsi="宋体"/>
          <w:color w:val="auto"/>
          <w:spacing w:val="6"/>
          <w:szCs w:val="21"/>
          <w:highlight w:val="none"/>
          <w:lang w:val="en-US" w:eastAsia="zh-CN"/>
        </w:rPr>
        <w:t>5</w:t>
      </w:r>
      <w:r>
        <w:rPr>
          <w:rFonts w:hint="eastAsia" w:ascii="宋体" w:hAnsi="宋体"/>
          <w:color w:val="auto"/>
          <w:spacing w:val="6"/>
          <w:szCs w:val="21"/>
          <w:highlight w:val="none"/>
        </w:rPr>
        <w:t>分钟的人员，应上前了解情况，若客户则给予业务帮助；若发现可疑行径的人员（如其操作界面非正常</w:t>
      </w:r>
      <w:r>
        <w:rPr>
          <w:rFonts w:hint="eastAsia"/>
          <w:color w:val="auto"/>
          <w:highlight w:val="none"/>
          <w:lang w:val="en-US" w:eastAsia="zh-CN"/>
        </w:rPr>
        <w:t>营业厅配套设备</w:t>
      </w:r>
      <w:r>
        <w:rPr>
          <w:rFonts w:hint="eastAsia" w:ascii="宋体" w:hAnsi="宋体"/>
          <w:color w:val="auto"/>
          <w:spacing w:val="6"/>
          <w:szCs w:val="21"/>
          <w:highlight w:val="none"/>
        </w:rPr>
        <w:t>界面、或没报备但在接触</w:t>
      </w:r>
      <w:r>
        <w:rPr>
          <w:rFonts w:hint="eastAsia"/>
          <w:color w:val="auto"/>
          <w:highlight w:val="none"/>
          <w:lang w:val="en-US" w:eastAsia="zh-CN"/>
        </w:rPr>
        <w:t>营业厅配套设备</w:t>
      </w:r>
      <w:r>
        <w:rPr>
          <w:rFonts w:hint="eastAsia" w:ascii="宋体" w:hAnsi="宋体"/>
          <w:color w:val="auto"/>
          <w:spacing w:val="6"/>
          <w:szCs w:val="21"/>
          <w:highlight w:val="none"/>
        </w:rPr>
        <w:t>网口、或正外力破坏</w:t>
      </w:r>
      <w:r>
        <w:rPr>
          <w:rFonts w:hint="eastAsia"/>
          <w:color w:val="auto"/>
          <w:highlight w:val="none"/>
          <w:lang w:val="en-US" w:eastAsia="zh-CN"/>
        </w:rPr>
        <w:t>营业厅配套设备</w:t>
      </w:r>
      <w:r>
        <w:rPr>
          <w:rFonts w:hint="eastAsia" w:ascii="宋体" w:hAnsi="宋体"/>
          <w:color w:val="auto"/>
          <w:spacing w:val="6"/>
          <w:szCs w:val="21"/>
          <w:highlight w:val="none"/>
        </w:rPr>
        <w:t>等）需及时干预制止，并一律拍照取证（要拍到人脸），同时填写异常表单上报</w:t>
      </w:r>
      <w:r>
        <w:rPr>
          <w:rFonts w:hint="eastAsia" w:ascii="宋体" w:hAnsi="宋体"/>
          <w:color w:val="auto"/>
          <w:spacing w:val="6"/>
          <w:szCs w:val="21"/>
          <w:highlight w:val="none"/>
          <w:lang w:val="en-US" w:eastAsia="zh-CN"/>
        </w:rPr>
        <w:t>设备</w:t>
      </w:r>
      <w:r>
        <w:rPr>
          <w:rFonts w:hint="eastAsia" w:ascii="宋体" w:hAnsi="宋体"/>
          <w:color w:val="auto"/>
          <w:spacing w:val="6"/>
          <w:szCs w:val="21"/>
          <w:highlight w:val="none"/>
        </w:rPr>
        <w:t>属地信息管理人员及招标人。</w:t>
      </w:r>
    </w:p>
    <w:p w14:paraId="13E9287E">
      <w:pPr>
        <w:pStyle w:val="7"/>
        <w:rPr>
          <w:color w:val="auto"/>
          <w:highlight w:val="none"/>
        </w:rPr>
      </w:pPr>
      <w:r>
        <w:rPr>
          <w:rFonts w:hint="eastAsia"/>
          <w:color w:val="auto"/>
          <w:highlight w:val="none"/>
        </w:rPr>
        <w:t>社工攻击防控</w:t>
      </w:r>
    </w:p>
    <w:p w14:paraId="78B5E29A">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加强社工攻击防控，配合营业场所做好社工攻击防控，具体要求如下：</w:t>
      </w:r>
    </w:p>
    <w:p w14:paraId="064674A6">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1、清理服务人员个人终端上存储的敏感资料，不得向任何第三方泄露有关供电局内部敏感信息。</w:t>
      </w:r>
    </w:p>
    <w:p w14:paraId="11E5845C">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2、清理互联网上发布相关技术资料。</w:t>
      </w:r>
    </w:p>
    <w:p w14:paraId="29F6488A">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3、发现营业场所现场有疑似社工攻击</w:t>
      </w:r>
      <w:r>
        <w:rPr>
          <w:rFonts w:hint="eastAsia"/>
          <w:color w:val="auto"/>
          <w:highlight w:val="none"/>
          <w:lang w:val="en-US" w:eastAsia="zh-CN"/>
        </w:rPr>
        <w:t>营业厅配套设备</w:t>
      </w:r>
      <w:r>
        <w:rPr>
          <w:rFonts w:hint="eastAsia" w:ascii="宋体" w:hAnsi="宋体"/>
          <w:color w:val="auto"/>
          <w:spacing w:val="6"/>
          <w:szCs w:val="21"/>
          <w:highlight w:val="none"/>
        </w:rPr>
        <w:t>或网络，及时向营业场所相关部门汇报，并马上切断相关</w:t>
      </w:r>
      <w:r>
        <w:rPr>
          <w:rFonts w:hint="eastAsia"/>
          <w:color w:val="auto"/>
          <w:highlight w:val="none"/>
          <w:lang w:val="en-US" w:eastAsia="zh-CN"/>
        </w:rPr>
        <w:t>营业厅配套设备</w:t>
      </w:r>
      <w:r>
        <w:rPr>
          <w:rFonts w:hint="eastAsia" w:ascii="宋体" w:hAnsi="宋体"/>
          <w:color w:val="auto"/>
          <w:spacing w:val="6"/>
          <w:szCs w:val="21"/>
          <w:highlight w:val="none"/>
        </w:rPr>
        <w:t>及网络。</w:t>
      </w:r>
    </w:p>
    <w:p w14:paraId="06DA8786">
      <w:pPr>
        <w:pStyle w:val="6"/>
        <w:rPr>
          <w:rFonts w:cs="宋体"/>
          <w:color w:val="auto"/>
          <w:highlight w:val="none"/>
        </w:rPr>
      </w:pPr>
      <w:bookmarkStart w:id="115" w:name="_Toc6215"/>
      <w:r>
        <w:rPr>
          <w:rFonts w:cs="宋体"/>
          <w:color w:val="auto"/>
          <w:highlight w:val="none"/>
        </w:rPr>
        <w:t>服务管理制度规范要求</w:t>
      </w:r>
      <w:bookmarkEnd w:id="115"/>
    </w:p>
    <w:p w14:paraId="4FE39D94">
      <w:pPr>
        <w:pStyle w:val="7"/>
        <w:rPr>
          <w:color w:val="auto"/>
          <w:highlight w:val="none"/>
        </w:rPr>
      </w:pPr>
      <w:r>
        <w:rPr>
          <w:color w:val="auto"/>
          <w:highlight w:val="none"/>
        </w:rPr>
        <w:t>行为规范要求</w:t>
      </w:r>
    </w:p>
    <w:p w14:paraId="05ADA5AE">
      <w:pPr>
        <w:pStyle w:val="42"/>
        <w:numPr>
          <w:ilvl w:val="0"/>
          <w:numId w:val="8"/>
        </w:numPr>
        <w:spacing w:line="360" w:lineRule="auto"/>
        <w:ind w:left="0" w:firstLine="482" w:firstLineChars="0"/>
        <w:rPr>
          <w:rFonts w:ascii="宋体" w:hAnsi="宋体"/>
          <w:color w:val="auto"/>
          <w:spacing w:val="6"/>
          <w:szCs w:val="21"/>
          <w:highlight w:val="none"/>
        </w:rPr>
      </w:pPr>
      <w:r>
        <w:rPr>
          <w:rFonts w:hint="eastAsia" w:ascii="宋体" w:hAnsi="宋体"/>
          <w:color w:val="auto"/>
          <w:spacing w:val="6"/>
          <w:szCs w:val="21"/>
          <w:highlight w:val="none"/>
        </w:rPr>
        <w:t>遵守招标人的各项规章制度，严格按照用户相应的规章制度办事。</w:t>
      </w:r>
    </w:p>
    <w:p w14:paraId="3BC249D2">
      <w:pPr>
        <w:pStyle w:val="42"/>
        <w:numPr>
          <w:ilvl w:val="0"/>
          <w:numId w:val="8"/>
        </w:numPr>
        <w:spacing w:line="360" w:lineRule="auto"/>
        <w:ind w:left="0" w:firstLine="482" w:firstLineChars="0"/>
        <w:rPr>
          <w:rFonts w:ascii="宋体" w:hAnsi="宋体"/>
          <w:color w:val="auto"/>
          <w:spacing w:val="6"/>
          <w:szCs w:val="21"/>
          <w:highlight w:val="none"/>
        </w:rPr>
      </w:pPr>
      <w:r>
        <w:rPr>
          <w:rFonts w:hint="eastAsia" w:ascii="宋体" w:hAnsi="宋体"/>
          <w:color w:val="auto"/>
          <w:spacing w:val="6"/>
          <w:szCs w:val="21"/>
          <w:highlight w:val="none"/>
        </w:rPr>
        <w:t>与用户运行维护体系其他部门和环节协同工作，密切配合，共同开展技术支持工作。</w:t>
      </w:r>
    </w:p>
    <w:p w14:paraId="26370681">
      <w:pPr>
        <w:pStyle w:val="42"/>
        <w:numPr>
          <w:ilvl w:val="0"/>
          <w:numId w:val="8"/>
        </w:numPr>
        <w:spacing w:line="360" w:lineRule="auto"/>
        <w:ind w:left="0" w:firstLine="482" w:firstLineChars="0"/>
        <w:rPr>
          <w:rFonts w:ascii="宋体" w:hAnsi="宋体"/>
          <w:color w:val="auto"/>
          <w:spacing w:val="6"/>
          <w:szCs w:val="21"/>
          <w:highlight w:val="none"/>
        </w:rPr>
      </w:pPr>
      <w:r>
        <w:rPr>
          <w:rFonts w:hint="eastAsia" w:ascii="宋体" w:hAnsi="宋体"/>
          <w:color w:val="auto"/>
          <w:spacing w:val="6"/>
          <w:szCs w:val="21"/>
          <w:highlight w:val="none"/>
        </w:rPr>
        <w:t>出现疑难技术、业务问题和重大紧急情况时，及时向负责人报告。</w:t>
      </w:r>
    </w:p>
    <w:p w14:paraId="7FE0ECBF">
      <w:pPr>
        <w:pStyle w:val="42"/>
        <w:numPr>
          <w:ilvl w:val="0"/>
          <w:numId w:val="8"/>
        </w:numPr>
        <w:spacing w:line="360" w:lineRule="auto"/>
        <w:ind w:left="0" w:firstLine="482" w:firstLineChars="0"/>
        <w:rPr>
          <w:rFonts w:ascii="宋体" w:hAnsi="宋体"/>
          <w:color w:val="auto"/>
          <w:spacing w:val="6"/>
          <w:szCs w:val="21"/>
          <w:highlight w:val="none"/>
        </w:rPr>
      </w:pPr>
      <w:r>
        <w:rPr>
          <w:rFonts w:hint="eastAsia" w:ascii="宋体" w:hAnsi="宋体"/>
          <w:color w:val="auto"/>
          <w:spacing w:val="6"/>
          <w:szCs w:val="21"/>
          <w:highlight w:val="none"/>
        </w:rPr>
        <w:t>现场技术支持时要精神饱满，穿着得体，谈吐文明，举止庄重。接听电话时要文明礼貌，语言清晰明了，语气和善。</w:t>
      </w:r>
    </w:p>
    <w:p w14:paraId="6730232C">
      <w:pPr>
        <w:pStyle w:val="42"/>
        <w:numPr>
          <w:ilvl w:val="0"/>
          <w:numId w:val="8"/>
        </w:numPr>
        <w:spacing w:line="360" w:lineRule="auto"/>
        <w:ind w:left="0" w:firstLine="482" w:firstLineChars="0"/>
        <w:rPr>
          <w:rFonts w:ascii="宋体" w:hAnsi="宋体"/>
          <w:color w:val="auto"/>
          <w:spacing w:val="6"/>
          <w:szCs w:val="21"/>
          <w:highlight w:val="none"/>
        </w:rPr>
      </w:pPr>
      <w:r>
        <w:rPr>
          <w:rFonts w:hint="eastAsia" w:ascii="宋体" w:hAnsi="宋体"/>
          <w:color w:val="auto"/>
          <w:spacing w:val="6"/>
          <w:szCs w:val="21"/>
          <w:highlight w:val="none"/>
        </w:rPr>
        <w:t>遵守保密原则。对被支持单位的网络、主机、系统软件、应用软件等的密码、核心参数、业务数据等负有保密责任，不得随意复制和传播。</w:t>
      </w:r>
    </w:p>
    <w:p w14:paraId="04BA5A41">
      <w:pPr>
        <w:pStyle w:val="7"/>
        <w:rPr>
          <w:color w:val="auto"/>
          <w:highlight w:val="none"/>
        </w:rPr>
      </w:pPr>
      <w:r>
        <w:rPr>
          <w:color w:val="auto"/>
          <w:highlight w:val="none"/>
        </w:rPr>
        <w:t>现场服务维护规范要求</w:t>
      </w:r>
    </w:p>
    <w:p w14:paraId="18024649">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运维服务人员要做到耐心、细心、热心的服务。工作要做到事事有记录、事事有反馈、重大问题及时汇报。严格遵守工作作息时间，严格按照服务工作流程操作。</w:t>
      </w:r>
    </w:p>
    <w:p w14:paraId="789B3C1A">
      <w:pPr>
        <w:pStyle w:val="42"/>
        <w:numPr>
          <w:ilvl w:val="0"/>
          <w:numId w:val="9"/>
        </w:numPr>
        <w:spacing w:line="360" w:lineRule="auto"/>
        <w:ind w:left="0" w:firstLine="482" w:firstLineChars="0"/>
        <w:rPr>
          <w:rFonts w:ascii="宋体" w:hAnsi="宋体"/>
          <w:color w:val="auto"/>
          <w:spacing w:val="6"/>
          <w:szCs w:val="21"/>
          <w:highlight w:val="none"/>
        </w:rPr>
      </w:pPr>
      <w:r>
        <w:rPr>
          <w:rFonts w:hint="eastAsia" w:ascii="宋体" w:hAnsi="宋体"/>
          <w:color w:val="auto"/>
          <w:spacing w:val="6"/>
          <w:szCs w:val="21"/>
          <w:highlight w:val="none"/>
        </w:rPr>
        <w:t>现场支持工程师应着装整洁、言行礼貌大方，技术专业，操作熟练、严谨、规范；现场支持时必须遵守用户单位的相关规章制度。</w:t>
      </w:r>
    </w:p>
    <w:p w14:paraId="6469A40C">
      <w:pPr>
        <w:pStyle w:val="42"/>
        <w:numPr>
          <w:ilvl w:val="0"/>
          <w:numId w:val="9"/>
        </w:numPr>
        <w:spacing w:line="360" w:lineRule="auto"/>
        <w:ind w:left="0" w:firstLine="482" w:firstLineChars="0"/>
        <w:rPr>
          <w:rFonts w:ascii="宋体" w:hAnsi="宋体"/>
          <w:color w:val="auto"/>
          <w:spacing w:val="6"/>
          <w:szCs w:val="21"/>
          <w:highlight w:val="none"/>
        </w:rPr>
      </w:pPr>
      <w:r>
        <w:rPr>
          <w:rFonts w:hint="eastAsia" w:ascii="宋体" w:hAnsi="宋体"/>
          <w:color w:val="auto"/>
          <w:spacing w:val="6"/>
          <w:szCs w:val="21"/>
          <w:highlight w:val="none"/>
        </w:rPr>
        <w:t xml:space="preserve">现场支持工程师在进行现场支持工作时必须在保证数据和系统安全的前提下开展工作。 </w:t>
      </w:r>
    </w:p>
    <w:p w14:paraId="21E360EF">
      <w:pPr>
        <w:pStyle w:val="42"/>
        <w:numPr>
          <w:ilvl w:val="0"/>
          <w:numId w:val="9"/>
        </w:numPr>
        <w:spacing w:line="360" w:lineRule="auto"/>
        <w:ind w:left="0" w:firstLine="482" w:firstLineChars="0"/>
        <w:rPr>
          <w:rFonts w:ascii="宋体" w:hAnsi="宋体"/>
          <w:color w:val="auto"/>
          <w:spacing w:val="6"/>
          <w:szCs w:val="21"/>
          <w:highlight w:val="none"/>
        </w:rPr>
      </w:pPr>
      <w:r>
        <w:rPr>
          <w:rFonts w:hint="eastAsia" w:ascii="宋体" w:hAnsi="宋体"/>
          <w:color w:val="auto"/>
          <w:spacing w:val="6"/>
          <w:szCs w:val="21"/>
          <w:highlight w:val="none"/>
        </w:rPr>
        <w:t>现场支持时出现暂时无法解决的故障或其他新的故障时，应告知用户并及时上报负责人，寻找其他解决途径。</w:t>
      </w:r>
    </w:p>
    <w:p w14:paraId="12EE3D8D">
      <w:pPr>
        <w:pStyle w:val="42"/>
        <w:numPr>
          <w:ilvl w:val="0"/>
          <w:numId w:val="9"/>
        </w:numPr>
        <w:spacing w:line="360" w:lineRule="auto"/>
        <w:ind w:left="0" w:firstLine="482" w:firstLineChars="0"/>
        <w:rPr>
          <w:rFonts w:ascii="宋体" w:hAnsi="宋体"/>
          <w:color w:val="auto"/>
          <w:spacing w:val="6"/>
          <w:szCs w:val="21"/>
          <w:highlight w:val="none"/>
        </w:rPr>
      </w:pPr>
      <w:r>
        <w:rPr>
          <w:rFonts w:hint="eastAsia" w:ascii="宋体" w:hAnsi="宋体"/>
          <w:color w:val="auto"/>
          <w:spacing w:val="6"/>
          <w:szCs w:val="21"/>
          <w:highlight w:val="none"/>
        </w:rPr>
        <w:t>故障解决后，现场支持工程师要详细记录问题的发生时间、地点、提出人和问题描述，并形成书面文档，必要时应向用户介绍故障出现的原因及预防方法和解决技巧。</w:t>
      </w:r>
    </w:p>
    <w:p w14:paraId="7EDB7DD3">
      <w:pPr>
        <w:pStyle w:val="6"/>
        <w:rPr>
          <w:rFonts w:cs="宋体"/>
          <w:color w:val="auto"/>
          <w:highlight w:val="none"/>
        </w:rPr>
      </w:pPr>
      <w:bookmarkStart w:id="116" w:name="_Toc7897"/>
      <w:r>
        <w:rPr>
          <w:rFonts w:hint="eastAsia" w:cs="宋体"/>
          <w:color w:val="auto"/>
          <w:highlight w:val="none"/>
        </w:rPr>
        <w:t>其他约定</w:t>
      </w:r>
      <w:bookmarkEnd w:id="116"/>
    </w:p>
    <w:p w14:paraId="2FFA2A72">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如招标人需对部分</w:t>
      </w:r>
      <w:r>
        <w:rPr>
          <w:rFonts w:hint="eastAsia"/>
          <w:color w:val="auto"/>
          <w:highlight w:val="none"/>
          <w:lang w:val="en-US" w:eastAsia="zh-CN"/>
        </w:rPr>
        <w:t>营业厅配套设备</w:t>
      </w:r>
      <w:r>
        <w:rPr>
          <w:rFonts w:hint="eastAsia" w:ascii="宋体" w:hAnsi="宋体"/>
          <w:color w:val="auto"/>
          <w:spacing w:val="6"/>
          <w:szCs w:val="21"/>
          <w:highlight w:val="none"/>
        </w:rPr>
        <w:t>进行停运处理，若该期间不需维护，双方每季度核准停运维护台账，按实际维护的</w:t>
      </w:r>
      <w:r>
        <w:rPr>
          <w:rFonts w:hint="eastAsia"/>
          <w:color w:val="auto"/>
          <w:highlight w:val="none"/>
          <w:lang w:val="en-US" w:eastAsia="zh-CN"/>
        </w:rPr>
        <w:t>营业厅配套设备</w:t>
      </w:r>
      <w:r>
        <w:rPr>
          <w:rFonts w:hint="eastAsia" w:ascii="宋体" w:hAnsi="宋体"/>
          <w:color w:val="auto"/>
          <w:spacing w:val="6"/>
          <w:szCs w:val="21"/>
          <w:highlight w:val="none"/>
        </w:rPr>
        <w:t>数量进行结算。</w:t>
      </w:r>
    </w:p>
    <w:p w14:paraId="022E0952">
      <w:pPr>
        <w:pStyle w:val="5"/>
        <w:rPr>
          <w:rFonts w:hint="eastAsia"/>
          <w:color w:val="auto"/>
          <w:highlight w:val="none"/>
          <w:lang w:val="en-US" w:eastAsia="zh-CN"/>
        </w:rPr>
      </w:pPr>
      <w:bookmarkStart w:id="117" w:name="_Toc13155"/>
      <w:r>
        <w:rPr>
          <w:rFonts w:hint="eastAsia"/>
          <w:color w:val="auto"/>
          <w:highlight w:val="none"/>
          <w:lang w:val="en-US" w:eastAsia="zh-CN"/>
        </w:rPr>
        <w:t>服务评价方式</w:t>
      </w:r>
      <w:bookmarkEnd w:id="117"/>
    </w:p>
    <w:p w14:paraId="02DC4792">
      <w:pPr>
        <w:numPr>
          <w:ilvl w:val="0"/>
          <w:numId w:val="10"/>
        </w:numPr>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考核项及评分标准</w:t>
      </w:r>
    </w:p>
    <w:tbl>
      <w:tblPr>
        <w:tblStyle w:val="22"/>
        <w:tblpPr w:leftFromText="180" w:rightFromText="180" w:vertAnchor="page" w:horzAnchor="page" w:tblpX="657" w:tblpY="2404"/>
        <w:tblOverlap w:val="never"/>
        <w:tblW w:w="10751" w:type="dxa"/>
        <w:tblInd w:w="0" w:type="dxa"/>
        <w:tblLayout w:type="fixed"/>
        <w:tblCellMar>
          <w:top w:w="0" w:type="dxa"/>
          <w:left w:w="108" w:type="dxa"/>
          <w:bottom w:w="0" w:type="dxa"/>
          <w:right w:w="108" w:type="dxa"/>
        </w:tblCellMar>
      </w:tblPr>
      <w:tblGrid>
        <w:gridCol w:w="680"/>
        <w:gridCol w:w="760"/>
        <w:gridCol w:w="23"/>
        <w:gridCol w:w="1500"/>
        <w:gridCol w:w="5073"/>
        <w:gridCol w:w="873"/>
        <w:gridCol w:w="850"/>
        <w:gridCol w:w="992"/>
      </w:tblGrid>
      <w:tr w14:paraId="17F61A51">
        <w:tblPrEx>
          <w:tblCellMar>
            <w:top w:w="0" w:type="dxa"/>
            <w:left w:w="108" w:type="dxa"/>
            <w:bottom w:w="0" w:type="dxa"/>
            <w:right w:w="108" w:type="dxa"/>
          </w:tblCellMar>
        </w:tblPrEx>
        <w:trPr>
          <w:trHeight w:val="600" w:hRule="atLeast"/>
        </w:trPr>
        <w:tc>
          <w:tcPr>
            <w:tcW w:w="1075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CA929C0">
            <w:pPr>
              <w:widowControl/>
              <w:jc w:val="left"/>
              <w:rPr>
                <w:rFonts w:hint="default" w:ascii="Courier New" w:hAnsi="Courier New" w:eastAsia="宋体" w:cs="Courier New"/>
                <w:color w:val="auto"/>
                <w:sz w:val="18"/>
                <w:szCs w:val="18"/>
                <w:highlight w:val="none"/>
                <w:lang w:val="en-US"/>
              </w:rPr>
            </w:pPr>
            <w:r>
              <w:rPr>
                <w:rFonts w:hint="eastAsia" w:ascii="Courier New" w:hAnsi="Courier New" w:cs="Courier New"/>
                <w:color w:val="auto"/>
                <w:sz w:val="18"/>
                <w:szCs w:val="18"/>
                <w:highlight w:val="none"/>
                <w:lang w:val="en-US" w:eastAsia="zh-CN"/>
              </w:rPr>
              <w:t xml:space="preserve">营业厅：                                                                               服务周期：                        </w:t>
            </w:r>
          </w:p>
        </w:tc>
      </w:tr>
      <w:tr w14:paraId="527D53D6">
        <w:tblPrEx>
          <w:tblCellMar>
            <w:top w:w="0" w:type="dxa"/>
            <w:left w:w="108" w:type="dxa"/>
            <w:bottom w:w="0" w:type="dxa"/>
            <w:right w:w="108" w:type="dxa"/>
          </w:tblCellMar>
        </w:tblPrEx>
        <w:trPr>
          <w:trHeight w:val="600"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66DE03A9">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序号</w:t>
            </w:r>
          </w:p>
        </w:tc>
        <w:tc>
          <w:tcPr>
            <w:tcW w:w="7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EDCF7F">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类型</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E7B3C75">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考核内容</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5D3C311F">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详细描述</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082AB39B">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扣款标准</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CD9F8D8">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扣分</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A72EE6E">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备注</w:t>
            </w:r>
          </w:p>
        </w:tc>
      </w:tr>
      <w:tr w14:paraId="3DFA7569">
        <w:tblPrEx>
          <w:tblCellMar>
            <w:top w:w="0" w:type="dxa"/>
            <w:left w:w="108" w:type="dxa"/>
            <w:bottom w:w="0" w:type="dxa"/>
            <w:right w:w="108" w:type="dxa"/>
          </w:tblCellMar>
        </w:tblPrEx>
        <w:trPr>
          <w:trHeight w:val="553" w:hRule="atLeast"/>
        </w:trPr>
        <w:tc>
          <w:tcPr>
            <w:tcW w:w="680" w:type="dxa"/>
            <w:vMerge w:val="restart"/>
            <w:tcBorders>
              <w:top w:val="single" w:color="auto" w:sz="4" w:space="0"/>
              <w:left w:val="single" w:color="auto" w:sz="4" w:space="0"/>
              <w:right w:val="single" w:color="auto" w:sz="4" w:space="0"/>
            </w:tcBorders>
            <w:shd w:val="clear" w:color="auto" w:fill="auto"/>
            <w:vAlign w:val="center"/>
          </w:tcPr>
          <w:p w14:paraId="3386E334">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1</w:t>
            </w:r>
          </w:p>
        </w:tc>
        <w:tc>
          <w:tcPr>
            <w:tcW w:w="783" w:type="dxa"/>
            <w:gridSpan w:val="2"/>
            <w:vMerge w:val="restart"/>
            <w:tcBorders>
              <w:top w:val="single" w:color="auto" w:sz="4" w:space="0"/>
              <w:left w:val="single" w:color="auto" w:sz="4" w:space="0"/>
              <w:right w:val="single" w:color="auto" w:sz="4" w:space="0"/>
            </w:tcBorders>
            <w:shd w:val="clear" w:color="auto" w:fill="auto"/>
            <w:vAlign w:val="center"/>
          </w:tcPr>
          <w:p w14:paraId="211137C7">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服务</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A5B025">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未能提供给环境变更支持</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26DE6B1D">
            <w:pPr>
              <w:widowControl/>
              <w:jc w:val="left"/>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当</w:t>
            </w:r>
            <w:r>
              <w:rPr>
                <w:rFonts w:hint="eastAsia" w:ascii="Courier New" w:hAnsi="Courier New" w:cs="Courier New"/>
                <w:color w:val="auto"/>
                <w:sz w:val="18"/>
                <w:szCs w:val="18"/>
                <w:highlight w:val="none"/>
                <w:lang w:eastAsia="zh-CN"/>
              </w:rPr>
              <w:t>设备</w:t>
            </w:r>
            <w:r>
              <w:rPr>
                <w:rFonts w:ascii="Courier New" w:hAnsi="Courier New" w:eastAsia="宋体" w:cs="Courier New"/>
                <w:color w:val="auto"/>
                <w:sz w:val="18"/>
                <w:szCs w:val="18"/>
                <w:highlight w:val="none"/>
              </w:rPr>
              <w:t>相关的硬件环境、软件环境需要变更，</w:t>
            </w:r>
            <w:r>
              <w:rPr>
                <w:rFonts w:hint="eastAsia" w:ascii="Courier New" w:hAnsi="Courier New" w:cs="Courier New"/>
                <w:color w:val="auto"/>
                <w:sz w:val="18"/>
                <w:szCs w:val="18"/>
                <w:highlight w:val="none"/>
                <w:lang w:val="en-US" w:eastAsia="zh-CN"/>
              </w:rPr>
              <w:t>中标</w:t>
            </w:r>
            <w:r>
              <w:rPr>
                <w:rFonts w:hint="eastAsia" w:ascii="Courier New" w:hAnsi="Courier New" w:cs="Courier New"/>
                <w:color w:val="auto"/>
                <w:sz w:val="18"/>
                <w:szCs w:val="18"/>
                <w:highlight w:val="none"/>
                <w:lang w:eastAsia="zh-CN"/>
              </w:rPr>
              <w:t>人</w:t>
            </w:r>
            <w:r>
              <w:rPr>
                <w:rFonts w:ascii="Courier New" w:hAnsi="Courier New" w:eastAsia="宋体" w:cs="Courier New"/>
                <w:color w:val="auto"/>
                <w:sz w:val="18"/>
                <w:szCs w:val="18"/>
                <w:highlight w:val="none"/>
              </w:rPr>
              <w:t>未能为</w:t>
            </w:r>
            <w:r>
              <w:rPr>
                <w:rFonts w:hint="eastAsia" w:ascii="Courier New" w:hAnsi="Courier New" w:cs="Courier New"/>
                <w:color w:val="auto"/>
                <w:sz w:val="18"/>
                <w:szCs w:val="18"/>
                <w:highlight w:val="none"/>
                <w:lang w:eastAsia="zh-CN"/>
              </w:rPr>
              <w:t>招标人设备</w:t>
            </w:r>
            <w:r>
              <w:rPr>
                <w:rFonts w:ascii="Courier New" w:hAnsi="Courier New" w:eastAsia="宋体" w:cs="Courier New"/>
                <w:color w:val="auto"/>
                <w:sz w:val="18"/>
                <w:szCs w:val="18"/>
                <w:highlight w:val="none"/>
              </w:rPr>
              <w:t>系统变更所需要的现场操作、现场指导或非现场指导等技术支持服务。</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50C72E7B">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1分/次</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6E55A51">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44BD525A">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r>
      <w:tr w14:paraId="24DF7CD7">
        <w:tblPrEx>
          <w:tblCellMar>
            <w:top w:w="0" w:type="dxa"/>
            <w:left w:w="108" w:type="dxa"/>
            <w:bottom w:w="0" w:type="dxa"/>
            <w:right w:w="108" w:type="dxa"/>
          </w:tblCellMar>
        </w:tblPrEx>
        <w:trPr>
          <w:trHeight w:val="870" w:hRule="atLeast"/>
        </w:trPr>
        <w:tc>
          <w:tcPr>
            <w:tcW w:w="680" w:type="dxa"/>
            <w:vMerge w:val="continue"/>
            <w:tcBorders>
              <w:left w:val="single" w:color="auto" w:sz="4" w:space="0"/>
              <w:right w:val="single" w:color="auto" w:sz="4" w:space="0"/>
            </w:tcBorders>
            <w:vAlign w:val="center"/>
          </w:tcPr>
          <w:p w14:paraId="5AF97FA4">
            <w:pPr>
              <w:widowControl/>
              <w:jc w:val="left"/>
              <w:rPr>
                <w:rFonts w:ascii="Courier New" w:hAnsi="Courier New" w:eastAsia="宋体" w:cs="Courier New"/>
                <w:color w:val="auto"/>
                <w:sz w:val="18"/>
                <w:szCs w:val="18"/>
                <w:highlight w:val="none"/>
              </w:rPr>
            </w:pPr>
          </w:p>
        </w:tc>
        <w:tc>
          <w:tcPr>
            <w:tcW w:w="783" w:type="dxa"/>
            <w:gridSpan w:val="2"/>
            <w:vMerge w:val="continue"/>
            <w:tcBorders>
              <w:left w:val="single" w:color="auto" w:sz="4" w:space="0"/>
              <w:right w:val="single" w:color="auto" w:sz="4" w:space="0"/>
            </w:tcBorders>
            <w:vAlign w:val="center"/>
          </w:tcPr>
          <w:p w14:paraId="3071474C">
            <w:pPr>
              <w:widowControl/>
              <w:jc w:val="left"/>
              <w:rPr>
                <w:rFonts w:ascii="Courier New" w:hAnsi="Courier New" w:eastAsia="宋体" w:cs="Courier New"/>
                <w:color w:val="auto"/>
                <w:sz w:val="18"/>
                <w:szCs w:val="18"/>
                <w:highlight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07247EF">
            <w:pPr>
              <w:widowControl/>
              <w:jc w:val="center"/>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未能按</w:t>
            </w:r>
            <w:r>
              <w:rPr>
                <w:rFonts w:hint="eastAsia" w:ascii="Courier New" w:hAnsi="Courier New" w:cs="Courier New"/>
                <w:color w:val="auto"/>
                <w:sz w:val="18"/>
                <w:szCs w:val="18"/>
                <w:highlight w:val="none"/>
                <w:lang w:eastAsia="zh-CN"/>
              </w:rPr>
              <w:t>招标人</w:t>
            </w:r>
            <w:r>
              <w:rPr>
                <w:rFonts w:hint="eastAsia" w:ascii="Courier New" w:hAnsi="Courier New" w:eastAsia="宋体" w:cs="Courier New"/>
                <w:color w:val="auto"/>
                <w:sz w:val="18"/>
                <w:szCs w:val="18"/>
                <w:highlight w:val="none"/>
              </w:rPr>
              <w:t>要求进行设备巡检</w:t>
            </w:r>
            <w:r>
              <w:rPr>
                <w:rFonts w:hint="eastAsia" w:ascii="Courier New" w:hAnsi="Courier New" w:cs="Courier New"/>
                <w:color w:val="auto"/>
                <w:sz w:val="18"/>
                <w:szCs w:val="18"/>
                <w:highlight w:val="none"/>
                <w:lang w:eastAsia="zh-CN"/>
              </w:rPr>
              <w:t>及清洁</w:t>
            </w:r>
            <w:r>
              <w:rPr>
                <w:rFonts w:hint="eastAsia" w:ascii="Courier New" w:hAnsi="Courier New" w:eastAsia="宋体" w:cs="Courier New"/>
                <w:color w:val="auto"/>
                <w:sz w:val="18"/>
                <w:szCs w:val="18"/>
                <w:highlight w:val="none"/>
              </w:rPr>
              <w:t>服务</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540CD984">
            <w:pPr>
              <w:widowControl/>
              <w:jc w:val="left"/>
              <w:rPr>
                <w:rFonts w:hint="eastAsia" w:ascii="Courier New" w:hAnsi="Courier New" w:eastAsia="宋体" w:cs="Courier New"/>
                <w:color w:val="auto"/>
                <w:sz w:val="18"/>
                <w:szCs w:val="18"/>
                <w:highlight w:val="none"/>
                <w:lang w:eastAsia="zh-CN"/>
              </w:rPr>
            </w:pPr>
            <w:r>
              <w:rPr>
                <w:rFonts w:hint="eastAsia" w:ascii="Courier New" w:hAnsi="Courier New" w:cs="Courier New"/>
                <w:color w:val="auto"/>
                <w:sz w:val="18"/>
                <w:szCs w:val="18"/>
                <w:highlight w:val="none"/>
                <w:lang w:val="en-US" w:eastAsia="zh-CN"/>
              </w:rPr>
              <w:t>中标</w:t>
            </w:r>
            <w:r>
              <w:rPr>
                <w:rFonts w:hint="eastAsia" w:ascii="Courier New" w:hAnsi="Courier New" w:cs="Courier New"/>
                <w:color w:val="auto"/>
                <w:sz w:val="18"/>
                <w:szCs w:val="18"/>
                <w:highlight w:val="none"/>
                <w:lang w:eastAsia="zh-CN"/>
              </w:rPr>
              <w:t>人</w:t>
            </w:r>
            <w:r>
              <w:rPr>
                <w:rFonts w:ascii="Courier New" w:hAnsi="Courier New" w:eastAsia="宋体" w:cs="Courier New"/>
                <w:color w:val="auto"/>
                <w:sz w:val="18"/>
                <w:szCs w:val="18"/>
                <w:highlight w:val="none"/>
              </w:rPr>
              <w:t>未能按</w:t>
            </w:r>
            <w:r>
              <w:rPr>
                <w:rFonts w:hint="eastAsia" w:ascii="Courier New" w:hAnsi="Courier New" w:cs="Courier New"/>
                <w:color w:val="auto"/>
                <w:sz w:val="18"/>
                <w:szCs w:val="18"/>
                <w:highlight w:val="none"/>
                <w:lang w:eastAsia="zh-CN"/>
              </w:rPr>
              <w:t>招标人要求，完成约定范围内</w:t>
            </w:r>
            <w:r>
              <w:rPr>
                <w:rFonts w:ascii="Courier New" w:hAnsi="Courier New" w:eastAsia="宋体" w:cs="Courier New"/>
                <w:color w:val="auto"/>
                <w:sz w:val="18"/>
                <w:szCs w:val="18"/>
                <w:highlight w:val="none"/>
              </w:rPr>
              <w:t>设备的巡检</w:t>
            </w:r>
            <w:r>
              <w:rPr>
                <w:rFonts w:hint="eastAsia" w:ascii="Courier New" w:hAnsi="Courier New" w:cs="Courier New"/>
                <w:color w:val="auto"/>
                <w:sz w:val="18"/>
                <w:szCs w:val="18"/>
                <w:highlight w:val="none"/>
                <w:lang w:eastAsia="zh-CN"/>
              </w:rPr>
              <w:t>及清洁服务。</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2527E736">
            <w:pPr>
              <w:widowControl/>
              <w:jc w:val="center"/>
              <w:rPr>
                <w:rFonts w:ascii="Courier New" w:hAnsi="Courier New" w:eastAsia="宋体" w:cs="Courier New"/>
                <w:color w:val="auto"/>
                <w:sz w:val="18"/>
                <w:szCs w:val="18"/>
                <w:highlight w:val="none"/>
              </w:rPr>
            </w:pPr>
            <w:r>
              <w:rPr>
                <w:rFonts w:hint="eastAsia" w:ascii="Courier New" w:hAnsi="Courier New" w:cs="Courier New"/>
                <w:color w:val="auto"/>
                <w:sz w:val="18"/>
                <w:szCs w:val="18"/>
                <w:highlight w:val="none"/>
                <w:lang w:val="en-US" w:eastAsia="zh-CN"/>
              </w:rPr>
              <w:t>1</w:t>
            </w:r>
            <w:r>
              <w:rPr>
                <w:rFonts w:ascii="Courier New" w:hAnsi="Courier New" w:eastAsia="宋体" w:cs="Courier New"/>
                <w:color w:val="auto"/>
                <w:sz w:val="18"/>
                <w:szCs w:val="18"/>
                <w:highlight w:val="none"/>
              </w:rPr>
              <w:t>分/次</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9A249B3">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1841D2FE">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r>
      <w:tr w14:paraId="0F09AF7A">
        <w:tblPrEx>
          <w:tblCellMar>
            <w:top w:w="0" w:type="dxa"/>
            <w:left w:w="108" w:type="dxa"/>
            <w:bottom w:w="0" w:type="dxa"/>
            <w:right w:w="108" w:type="dxa"/>
          </w:tblCellMar>
        </w:tblPrEx>
        <w:trPr>
          <w:trHeight w:val="683" w:hRule="atLeast"/>
        </w:trPr>
        <w:tc>
          <w:tcPr>
            <w:tcW w:w="680" w:type="dxa"/>
            <w:vMerge w:val="continue"/>
            <w:tcBorders>
              <w:left w:val="single" w:color="auto" w:sz="4" w:space="0"/>
              <w:right w:val="single" w:color="auto" w:sz="4" w:space="0"/>
            </w:tcBorders>
            <w:vAlign w:val="center"/>
          </w:tcPr>
          <w:p w14:paraId="14C79897">
            <w:pPr>
              <w:widowControl/>
              <w:jc w:val="left"/>
              <w:rPr>
                <w:rFonts w:ascii="Courier New" w:hAnsi="Courier New" w:eastAsia="宋体" w:cs="Courier New"/>
                <w:color w:val="auto"/>
                <w:sz w:val="18"/>
                <w:szCs w:val="18"/>
                <w:highlight w:val="none"/>
              </w:rPr>
            </w:pPr>
          </w:p>
        </w:tc>
        <w:tc>
          <w:tcPr>
            <w:tcW w:w="783" w:type="dxa"/>
            <w:gridSpan w:val="2"/>
            <w:vMerge w:val="continue"/>
            <w:tcBorders>
              <w:left w:val="single" w:color="auto" w:sz="4" w:space="0"/>
              <w:right w:val="single" w:color="auto" w:sz="4" w:space="0"/>
            </w:tcBorders>
            <w:vAlign w:val="center"/>
          </w:tcPr>
          <w:p w14:paraId="7F400505">
            <w:pPr>
              <w:widowControl/>
              <w:jc w:val="left"/>
              <w:rPr>
                <w:rFonts w:ascii="Courier New" w:hAnsi="Courier New" w:eastAsia="宋体" w:cs="Courier New"/>
                <w:color w:val="auto"/>
                <w:sz w:val="18"/>
                <w:szCs w:val="18"/>
                <w:highlight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0031758">
            <w:pPr>
              <w:widowControl/>
              <w:jc w:val="center"/>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未能按</w:t>
            </w:r>
            <w:r>
              <w:rPr>
                <w:rFonts w:hint="eastAsia" w:ascii="Courier New" w:hAnsi="Courier New" w:cs="Courier New"/>
                <w:color w:val="auto"/>
                <w:sz w:val="18"/>
                <w:szCs w:val="18"/>
                <w:highlight w:val="none"/>
                <w:lang w:eastAsia="zh-CN"/>
              </w:rPr>
              <w:t>招标人</w:t>
            </w:r>
            <w:r>
              <w:rPr>
                <w:rFonts w:hint="eastAsia" w:ascii="Courier New" w:hAnsi="Courier New" w:eastAsia="宋体" w:cs="Courier New"/>
                <w:color w:val="auto"/>
                <w:sz w:val="18"/>
                <w:szCs w:val="18"/>
                <w:highlight w:val="none"/>
              </w:rPr>
              <w:t>要求</w:t>
            </w:r>
            <w:r>
              <w:rPr>
                <w:rFonts w:ascii="Courier New" w:hAnsi="Courier New" w:eastAsia="宋体" w:cs="Courier New"/>
                <w:color w:val="auto"/>
                <w:sz w:val="18"/>
                <w:szCs w:val="18"/>
                <w:highlight w:val="none"/>
              </w:rPr>
              <w:t>提供报表</w:t>
            </w:r>
          </w:p>
        </w:tc>
        <w:tc>
          <w:tcPr>
            <w:tcW w:w="5073" w:type="dxa"/>
            <w:tcBorders>
              <w:top w:val="single" w:color="auto" w:sz="4" w:space="0"/>
              <w:left w:val="single" w:color="auto" w:sz="4" w:space="0"/>
              <w:bottom w:val="single" w:color="auto" w:sz="4" w:space="0"/>
              <w:right w:val="single" w:color="auto" w:sz="4" w:space="0"/>
            </w:tcBorders>
            <w:shd w:val="clear" w:color="000000" w:fill="FFFFFF"/>
            <w:vAlign w:val="center"/>
          </w:tcPr>
          <w:p w14:paraId="31D3BA15">
            <w:pPr>
              <w:widowControl/>
              <w:jc w:val="left"/>
              <w:rPr>
                <w:rFonts w:ascii="Courier New" w:hAnsi="Courier New" w:eastAsia="宋体" w:cs="Courier New"/>
                <w:color w:val="auto"/>
                <w:sz w:val="18"/>
                <w:szCs w:val="18"/>
                <w:highlight w:val="none"/>
              </w:rPr>
            </w:pPr>
            <w:r>
              <w:rPr>
                <w:rFonts w:hint="eastAsia" w:ascii="Courier New" w:hAnsi="Courier New" w:cs="Courier New"/>
                <w:color w:val="auto"/>
                <w:sz w:val="18"/>
                <w:szCs w:val="18"/>
                <w:highlight w:val="none"/>
                <w:lang w:eastAsia="zh-CN"/>
              </w:rPr>
              <w:t>中标人未能</w:t>
            </w:r>
            <w:r>
              <w:rPr>
                <w:rFonts w:hint="eastAsia" w:ascii="Courier New" w:hAnsi="Courier New" w:eastAsia="宋体" w:cs="Courier New"/>
                <w:color w:val="auto"/>
                <w:sz w:val="18"/>
                <w:szCs w:val="18"/>
                <w:highlight w:val="none"/>
              </w:rPr>
              <w:t>根据</w:t>
            </w:r>
            <w:r>
              <w:rPr>
                <w:rFonts w:hint="eastAsia" w:ascii="Courier New" w:hAnsi="Courier New" w:cs="Courier New"/>
                <w:color w:val="auto"/>
                <w:sz w:val="18"/>
                <w:szCs w:val="18"/>
                <w:highlight w:val="none"/>
                <w:lang w:eastAsia="zh-CN"/>
              </w:rPr>
              <w:t>招标人</w:t>
            </w:r>
            <w:r>
              <w:rPr>
                <w:rFonts w:hint="eastAsia" w:ascii="Courier New" w:hAnsi="Courier New" w:eastAsia="宋体" w:cs="Courier New"/>
                <w:color w:val="auto"/>
                <w:sz w:val="18"/>
                <w:szCs w:val="18"/>
                <w:highlight w:val="none"/>
              </w:rPr>
              <w:t>要求推进设备维护、巡检</w:t>
            </w:r>
            <w:r>
              <w:rPr>
                <w:rFonts w:hint="eastAsia" w:ascii="Courier New" w:hAnsi="Courier New" w:cs="Courier New"/>
                <w:color w:val="auto"/>
                <w:sz w:val="18"/>
                <w:szCs w:val="18"/>
                <w:highlight w:val="none"/>
                <w:lang w:eastAsia="zh-CN"/>
              </w:rPr>
              <w:t>、故障处理等</w:t>
            </w:r>
            <w:r>
              <w:rPr>
                <w:rFonts w:hint="eastAsia" w:ascii="Courier New" w:hAnsi="Courier New" w:eastAsia="宋体" w:cs="Courier New"/>
                <w:color w:val="auto"/>
                <w:sz w:val="18"/>
                <w:szCs w:val="18"/>
                <w:highlight w:val="none"/>
              </w:rPr>
              <w:t>工作，</w:t>
            </w:r>
            <w:r>
              <w:rPr>
                <w:rFonts w:hint="eastAsia" w:ascii="Courier New" w:hAnsi="Courier New" w:cs="Courier New"/>
                <w:color w:val="auto"/>
                <w:sz w:val="18"/>
                <w:szCs w:val="18"/>
                <w:highlight w:val="none"/>
                <w:lang w:eastAsia="zh-CN"/>
              </w:rPr>
              <w:t>未能按</w:t>
            </w:r>
            <w:r>
              <w:rPr>
                <w:rFonts w:hint="eastAsia" w:ascii="Courier New" w:hAnsi="Courier New" w:eastAsia="宋体" w:cs="Courier New"/>
                <w:color w:val="auto"/>
                <w:sz w:val="18"/>
                <w:szCs w:val="18"/>
                <w:highlight w:val="none"/>
              </w:rPr>
              <w:t>要求</w:t>
            </w:r>
            <w:r>
              <w:rPr>
                <w:rFonts w:hint="eastAsia" w:ascii="Courier New" w:hAnsi="Courier New" w:cs="Courier New"/>
                <w:color w:val="auto"/>
                <w:sz w:val="18"/>
                <w:szCs w:val="18"/>
                <w:highlight w:val="none"/>
                <w:lang w:eastAsia="zh-CN"/>
              </w:rPr>
              <w:t>提供</w:t>
            </w:r>
            <w:r>
              <w:rPr>
                <w:rFonts w:hint="eastAsia" w:ascii="Courier New" w:hAnsi="Courier New" w:eastAsia="宋体" w:cs="Courier New"/>
                <w:color w:val="auto"/>
                <w:sz w:val="18"/>
                <w:szCs w:val="18"/>
                <w:highlight w:val="none"/>
              </w:rPr>
              <w:t>运维数据</w:t>
            </w:r>
            <w:r>
              <w:rPr>
                <w:rFonts w:hint="eastAsia" w:ascii="Courier New" w:hAnsi="Courier New" w:cs="Courier New"/>
                <w:color w:val="auto"/>
                <w:sz w:val="18"/>
                <w:szCs w:val="18"/>
                <w:highlight w:val="none"/>
                <w:lang w:eastAsia="zh-CN"/>
              </w:rPr>
              <w:t>等报表（运维</w:t>
            </w:r>
            <w:r>
              <w:rPr>
                <w:rFonts w:hint="eastAsia" w:ascii="Courier New" w:hAnsi="Courier New" w:eastAsia="宋体" w:cs="Courier New"/>
                <w:color w:val="auto"/>
                <w:sz w:val="18"/>
                <w:szCs w:val="18"/>
                <w:highlight w:val="none"/>
              </w:rPr>
              <w:t>报告</w:t>
            </w:r>
            <w:r>
              <w:rPr>
                <w:rFonts w:hint="eastAsia" w:ascii="Courier New" w:hAnsi="Courier New" w:cs="Courier New"/>
                <w:color w:val="auto"/>
                <w:sz w:val="18"/>
                <w:szCs w:val="18"/>
                <w:highlight w:val="none"/>
                <w:lang w:eastAsia="zh-CN"/>
              </w:rPr>
              <w:t>）</w:t>
            </w:r>
            <w:r>
              <w:rPr>
                <w:rFonts w:hint="eastAsia" w:ascii="Courier New" w:hAnsi="Courier New" w:eastAsia="宋体" w:cs="Courier New"/>
                <w:color w:val="auto"/>
                <w:sz w:val="18"/>
                <w:szCs w:val="18"/>
                <w:highlight w:val="none"/>
              </w:rPr>
              <w:t>。</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692F5626">
            <w:pPr>
              <w:widowControl/>
              <w:jc w:val="center"/>
              <w:rPr>
                <w:rFonts w:ascii="Courier New" w:hAnsi="Courier New" w:eastAsia="宋体" w:cs="Courier New"/>
                <w:color w:val="auto"/>
                <w:sz w:val="18"/>
                <w:szCs w:val="18"/>
                <w:highlight w:val="none"/>
              </w:rPr>
            </w:pPr>
            <w:r>
              <w:rPr>
                <w:rFonts w:hint="eastAsia" w:ascii="Courier New" w:hAnsi="Courier New" w:cs="Courier New"/>
                <w:color w:val="auto"/>
                <w:sz w:val="18"/>
                <w:szCs w:val="18"/>
                <w:highlight w:val="none"/>
                <w:lang w:val="en-US" w:eastAsia="zh-CN"/>
              </w:rPr>
              <w:t>1</w:t>
            </w:r>
            <w:r>
              <w:rPr>
                <w:rFonts w:ascii="Courier New" w:hAnsi="Courier New" w:eastAsia="宋体" w:cs="Courier New"/>
                <w:color w:val="auto"/>
                <w:sz w:val="18"/>
                <w:szCs w:val="18"/>
                <w:highlight w:val="none"/>
              </w:rPr>
              <w:t>分/份</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57DA29C">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5570F8FA">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r>
      <w:tr w14:paraId="717CF675">
        <w:tblPrEx>
          <w:tblCellMar>
            <w:top w:w="0" w:type="dxa"/>
            <w:left w:w="108" w:type="dxa"/>
            <w:bottom w:w="0" w:type="dxa"/>
            <w:right w:w="108" w:type="dxa"/>
          </w:tblCellMar>
        </w:tblPrEx>
        <w:trPr>
          <w:trHeight w:val="464" w:hRule="atLeast"/>
        </w:trPr>
        <w:tc>
          <w:tcPr>
            <w:tcW w:w="680" w:type="dxa"/>
            <w:vMerge w:val="continue"/>
            <w:tcBorders>
              <w:left w:val="single" w:color="auto" w:sz="4" w:space="0"/>
              <w:right w:val="single" w:color="auto" w:sz="4" w:space="0"/>
            </w:tcBorders>
            <w:vAlign w:val="center"/>
          </w:tcPr>
          <w:p w14:paraId="754860F4">
            <w:pPr>
              <w:widowControl/>
              <w:jc w:val="left"/>
              <w:rPr>
                <w:rFonts w:ascii="Courier New" w:hAnsi="Courier New" w:eastAsia="宋体" w:cs="Courier New"/>
                <w:color w:val="auto"/>
                <w:sz w:val="18"/>
                <w:szCs w:val="18"/>
                <w:highlight w:val="none"/>
              </w:rPr>
            </w:pPr>
          </w:p>
        </w:tc>
        <w:tc>
          <w:tcPr>
            <w:tcW w:w="783" w:type="dxa"/>
            <w:gridSpan w:val="2"/>
            <w:vMerge w:val="continue"/>
            <w:tcBorders>
              <w:left w:val="single" w:color="auto" w:sz="4" w:space="0"/>
              <w:right w:val="single" w:color="auto" w:sz="4" w:space="0"/>
            </w:tcBorders>
            <w:vAlign w:val="center"/>
          </w:tcPr>
          <w:p w14:paraId="67C4A615">
            <w:pPr>
              <w:widowControl/>
              <w:jc w:val="left"/>
              <w:rPr>
                <w:rFonts w:ascii="Courier New" w:hAnsi="Courier New" w:eastAsia="宋体" w:cs="Courier New"/>
                <w:color w:val="auto"/>
                <w:sz w:val="18"/>
                <w:szCs w:val="18"/>
                <w:highlight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E391D9E">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无专门</w:t>
            </w:r>
            <w:r>
              <w:rPr>
                <w:rFonts w:hint="eastAsia" w:ascii="Courier New" w:hAnsi="Courier New" w:eastAsia="宋体" w:cs="Courier New"/>
                <w:color w:val="auto"/>
                <w:sz w:val="18"/>
                <w:szCs w:val="18"/>
                <w:highlight w:val="none"/>
                <w:lang w:val="en-US" w:eastAsia="zh-CN"/>
              </w:rPr>
              <w:t>对接</w:t>
            </w:r>
            <w:r>
              <w:rPr>
                <w:rFonts w:ascii="Courier New" w:hAnsi="Courier New" w:eastAsia="宋体" w:cs="Courier New"/>
                <w:color w:val="auto"/>
                <w:sz w:val="18"/>
                <w:szCs w:val="18"/>
                <w:highlight w:val="none"/>
              </w:rPr>
              <w:t>人</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6E90985E">
            <w:pPr>
              <w:widowControl/>
              <w:jc w:val="left"/>
              <w:rPr>
                <w:rFonts w:hint="eastAsia" w:ascii="Courier New" w:hAnsi="Courier New" w:eastAsia="宋体" w:cs="Courier New"/>
                <w:color w:val="auto"/>
                <w:sz w:val="18"/>
                <w:szCs w:val="18"/>
                <w:highlight w:val="none"/>
                <w:lang w:eastAsia="zh-CN"/>
              </w:rPr>
            </w:pPr>
            <w:r>
              <w:rPr>
                <w:rFonts w:hint="eastAsia" w:ascii="Courier New" w:hAnsi="Courier New" w:cs="Courier New"/>
                <w:color w:val="auto"/>
                <w:sz w:val="18"/>
                <w:szCs w:val="18"/>
                <w:highlight w:val="none"/>
                <w:lang w:val="en-US" w:eastAsia="zh-CN"/>
              </w:rPr>
              <w:t>中标</w:t>
            </w:r>
            <w:r>
              <w:rPr>
                <w:rFonts w:hint="eastAsia" w:ascii="Courier New" w:hAnsi="Courier New" w:cs="Courier New"/>
                <w:color w:val="auto"/>
                <w:sz w:val="18"/>
                <w:szCs w:val="18"/>
                <w:highlight w:val="none"/>
                <w:lang w:eastAsia="zh-CN"/>
              </w:rPr>
              <w:t>人</w:t>
            </w:r>
            <w:r>
              <w:rPr>
                <w:rFonts w:ascii="Courier New" w:hAnsi="Courier New" w:eastAsia="宋体" w:cs="Courier New"/>
                <w:color w:val="auto"/>
                <w:sz w:val="18"/>
                <w:szCs w:val="18"/>
                <w:highlight w:val="none"/>
              </w:rPr>
              <w:t>未给设备安置场所管理方分配</w:t>
            </w:r>
            <w:r>
              <w:rPr>
                <w:rFonts w:hint="eastAsia" w:ascii="Courier New" w:hAnsi="Courier New" w:eastAsia="宋体" w:cs="Courier New"/>
                <w:color w:val="auto"/>
                <w:sz w:val="18"/>
                <w:szCs w:val="18"/>
                <w:highlight w:val="none"/>
                <w:lang w:val="en-US" w:eastAsia="zh-CN"/>
              </w:rPr>
              <w:t>专门对接</w:t>
            </w:r>
            <w:r>
              <w:rPr>
                <w:rFonts w:ascii="Courier New" w:hAnsi="Courier New" w:eastAsia="宋体" w:cs="Courier New"/>
                <w:color w:val="auto"/>
                <w:sz w:val="18"/>
                <w:szCs w:val="18"/>
                <w:highlight w:val="none"/>
              </w:rPr>
              <w:t>人</w:t>
            </w:r>
            <w:r>
              <w:rPr>
                <w:rFonts w:hint="eastAsia" w:ascii="Courier New" w:hAnsi="Courier New" w:cs="Courier New"/>
                <w:color w:val="auto"/>
                <w:sz w:val="18"/>
                <w:szCs w:val="18"/>
                <w:highlight w:val="none"/>
                <w:lang w:eastAsia="zh-CN"/>
              </w:rPr>
              <w:t>。</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4E14AD65">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1分</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65B533C">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153B9F09">
            <w:pPr>
              <w:widowControl/>
              <w:jc w:val="left"/>
              <w:rPr>
                <w:rFonts w:ascii="Courier New" w:hAnsi="Courier New" w:eastAsia="宋体" w:cs="Courier New"/>
                <w:color w:val="auto"/>
                <w:sz w:val="18"/>
                <w:szCs w:val="18"/>
                <w:highlight w:val="none"/>
              </w:rPr>
            </w:pPr>
            <w:r>
              <w:rPr>
                <w:rFonts w:hint="eastAsia" w:ascii="宋体" w:hAnsi="宋体" w:eastAsia="宋体" w:cs="宋体"/>
                <w:color w:val="auto"/>
                <w:sz w:val="18"/>
                <w:szCs w:val="18"/>
                <w:highlight w:val="none"/>
              </w:rPr>
              <w:t>　</w:t>
            </w:r>
          </w:p>
        </w:tc>
      </w:tr>
      <w:tr w14:paraId="2F64EACC">
        <w:tblPrEx>
          <w:tblCellMar>
            <w:top w:w="0" w:type="dxa"/>
            <w:left w:w="108" w:type="dxa"/>
            <w:bottom w:w="0" w:type="dxa"/>
            <w:right w:w="108" w:type="dxa"/>
          </w:tblCellMar>
        </w:tblPrEx>
        <w:trPr>
          <w:trHeight w:val="565" w:hRule="atLeast"/>
        </w:trPr>
        <w:tc>
          <w:tcPr>
            <w:tcW w:w="680" w:type="dxa"/>
            <w:vMerge w:val="continue"/>
            <w:tcBorders>
              <w:left w:val="single" w:color="auto" w:sz="4" w:space="0"/>
              <w:right w:val="single" w:color="auto" w:sz="4" w:space="0"/>
            </w:tcBorders>
            <w:vAlign w:val="center"/>
          </w:tcPr>
          <w:p w14:paraId="42F55ACA">
            <w:pPr>
              <w:widowControl/>
              <w:jc w:val="left"/>
              <w:rPr>
                <w:rFonts w:ascii="Courier New" w:hAnsi="Courier New" w:eastAsia="宋体" w:cs="Courier New"/>
                <w:color w:val="auto"/>
                <w:sz w:val="18"/>
                <w:szCs w:val="18"/>
                <w:highlight w:val="none"/>
              </w:rPr>
            </w:pPr>
          </w:p>
        </w:tc>
        <w:tc>
          <w:tcPr>
            <w:tcW w:w="783" w:type="dxa"/>
            <w:gridSpan w:val="2"/>
            <w:vMerge w:val="continue"/>
            <w:tcBorders>
              <w:left w:val="single" w:color="auto" w:sz="4" w:space="0"/>
              <w:right w:val="single" w:color="auto" w:sz="4" w:space="0"/>
            </w:tcBorders>
            <w:vAlign w:val="center"/>
          </w:tcPr>
          <w:p w14:paraId="44EE54DA">
            <w:pPr>
              <w:widowControl/>
              <w:jc w:val="left"/>
              <w:rPr>
                <w:rFonts w:ascii="Courier New" w:hAnsi="Courier New" w:eastAsia="宋体" w:cs="Courier New"/>
                <w:color w:val="auto"/>
                <w:sz w:val="18"/>
                <w:szCs w:val="18"/>
                <w:highlight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B79958D">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故障响应</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3472F9CD">
            <w:pPr>
              <w:widowControl/>
              <w:jc w:val="left"/>
              <w:rPr>
                <w:rFonts w:hint="eastAsia" w:ascii="Courier New" w:hAnsi="Courier New" w:eastAsia="宋体" w:cs="Courier New"/>
                <w:color w:val="auto"/>
                <w:sz w:val="18"/>
                <w:szCs w:val="18"/>
                <w:highlight w:val="none"/>
                <w:lang w:eastAsia="zh-CN"/>
              </w:rPr>
            </w:pPr>
            <w:r>
              <w:rPr>
                <w:rFonts w:hint="eastAsia" w:ascii="Courier New" w:hAnsi="Courier New" w:cs="Courier New"/>
                <w:color w:val="auto"/>
                <w:sz w:val="18"/>
                <w:szCs w:val="18"/>
                <w:highlight w:val="none"/>
                <w:lang w:val="en-US" w:eastAsia="zh-CN"/>
              </w:rPr>
              <w:t>中标</w:t>
            </w:r>
            <w:r>
              <w:rPr>
                <w:rFonts w:hint="eastAsia" w:ascii="Courier New" w:hAnsi="Courier New" w:cs="Courier New"/>
                <w:color w:val="auto"/>
                <w:sz w:val="18"/>
                <w:szCs w:val="18"/>
                <w:highlight w:val="none"/>
                <w:lang w:eastAsia="zh-CN"/>
              </w:rPr>
              <w:t>人</w:t>
            </w:r>
            <w:r>
              <w:rPr>
                <w:rFonts w:ascii="Courier New" w:hAnsi="Courier New" w:eastAsia="宋体" w:cs="Courier New"/>
                <w:color w:val="auto"/>
                <w:sz w:val="18"/>
                <w:szCs w:val="18"/>
                <w:highlight w:val="none"/>
              </w:rPr>
              <w:t>未能</w:t>
            </w:r>
            <w:r>
              <w:rPr>
                <w:rFonts w:hint="eastAsia" w:ascii="Courier New" w:hAnsi="Courier New" w:eastAsia="宋体" w:cs="Courier New"/>
                <w:color w:val="auto"/>
                <w:sz w:val="18"/>
                <w:szCs w:val="18"/>
                <w:highlight w:val="none"/>
              </w:rPr>
              <w:t>在故障发生后未作出有效响应</w:t>
            </w:r>
            <w:r>
              <w:rPr>
                <w:rFonts w:hint="eastAsia" w:ascii="Courier New" w:hAnsi="Courier New" w:eastAsia="宋体" w:cs="Courier New"/>
                <w:color w:val="auto"/>
                <w:sz w:val="18"/>
                <w:szCs w:val="18"/>
                <w:highlight w:val="none"/>
                <w:lang w:eastAsia="zh-CN"/>
              </w:rPr>
              <w:t>。</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3D712939">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1分/次</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D94DDF5">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4F723DEA">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r>
      <w:tr w14:paraId="40EF7529">
        <w:tblPrEx>
          <w:tblCellMar>
            <w:top w:w="0" w:type="dxa"/>
            <w:left w:w="108" w:type="dxa"/>
            <w:bottom w:w="0" w:type="dxa"/>
            <w:right w:w="108" w:type="dxa"/>
          </w:tblCellMar>
        </w:tblPrEx>
        <w:trPr>
          <w:trHeight w:val="914" w:hRule="atLeast"/>
        </w:trPr>
        <w:tc>
          <w:tcPr>
            <w:tcW w:w="680" w:type="dxa"/>
            <w:vMerge w:val="continue"/>
            <w:tcBorders>
              <w:left w:val="single" w:color="auto" w:sz="4" w:space="0"/>
              <w:right w:val="single" w:color="auto" w:sz="4" w:space="0"/>
            </w:tcBorders>
            <w:vAlign w:val="center"/>
          </w:tcPr>
          <w:p w14:paraId="5FECD173">
            <w:pPr>
              <w:widowControl/>
              <w:jc w:val="left"/>
              <w:rPr>
                <w:rFonts w:ascii="Courier New" w:hAnsi="Courier New" w:eastAsia="宋体" w:cs="Courier New"/>
                <w:color w:val="auto"/>
                <w:sz w:val="18"/>
                <w:szCs w:val="18"/>
                <w:highlight w:val="none"/>
              </w:rPr>
            </w:pPr>
          </w:p>
        </w:tc>
        <w:tc>
          <w:tcPr>
            <w:tcW w:w="783" w:type="dxa"/>
            <w:gridSpan w:val="2"/>
            <w:vMerge w:val="continue"/>
            <w:tcBorders>
              <w:left w:val="single" w:color="auto" w:sz="4" w:space="0"/>
              <w:right w:val="single" w:color="auto" w:sz="4" w:space="0"/>
            </w:tcBorders>
            <w:vAlign w:val="center"/>
          </w:tcPr>
          <w:p w14:paraId="527BF0F1">
            <w:pPr>
              <w:widowControl/>
              <w:jc w:val="left"/>
              <w:rPr>
                <w:rFonts w:ascii="Courier New" w:hAnsi="Courier New" w:eastAsia="宋体" w:cs="Courier New"/>
                <w:color w:val="auto"/>
                <w:sz w:val="18"/>
                <w:szCs w:val="18"/>
                <w:highlight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349E824D">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故障解决</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573E1547">
            <w:pPr>
              <w:widowControl/>
              <w:jc w:val="left"/>
              <w:rPr>
                <w:rFonts w:ascii="Courier New" w:hAnsi="Courier New" w:eastAsia="宋体" w:cs="Courier New"/>
                <w:color w:val="auto"/>
                <w:sz w:val="18"/>
                <w:szCs w:val="18"/>
                <w:highlight w:val="none"/>
              </w:rPr>
            </w:pPr>
            <w:r>
              <w:rPr>
                <w:rFonts w:hint="eastAsia" w:ascii="Courier New" w:hAnsi="Courier New" w:cs="Courier New"/>
                <w:color w:val="auto"/>
                <w:sz w:val="18"/>
                <w:szCs w:val="18"/>
                <w:highlight w:val="none"/>
                <w:lang w:val="en-US" w:eastAsia="zh-CN"/>
              </w:rPr>
              <w:t>中标</w:t>
            </w:r>
            <w:r>
              <w:rPr>
                <w:rFonts w:hint="eastAsia" w:ascii="Courier New" w:hAnsi="Courier New" w:cs="Courier New"/>
                <w:color w:val="auto"/>
                <w:sz w:val="18"/>
                <w:szCs w:val="18"/>
                <w:highlight w:val="none"/>
                <w:lang w:eastAsia="zh-CN"/>
              </w:rPr>
              <w:t>人</w:t>
            </w:r>
            <w:r>
              <w:rPr>
                <w:rFonts w:hint="eastAsia" w:ascii="Courier New" w:hAnsi="Courier New" w:eastAsia="宋体" w:cs="Courier New"/>
                <w:color w:val="auto"/>
                <w:sz w:val="18"/>
                <w:szCs w:val="18"/>
                <w:highlight w:val="none"/>
                <w:lang w:eastAsia="zh-CN"/>
              </w:rPr>
              <w:t>在接到故障报修后，未能够迅速作出响应</w:t>
            </w:r>
            <w:r>
              <w:rPr>
                <w:rFonts w:hint="eastAsia" w:ascii="Courier New" w:hAnsi="Courier New" w:cs="Courier New"/>
                <w:color w:val="auto"/>
                <w:sz w:val="18"/>
                <w:szCs w:val="18"/>
                <w:highlight w:val="none"/>
                <w:lang w:eastAsia="zh-CN"/>
              </w:rPr>
              <w:t>、</w:t>
            </w:r>
            <w:r>
              <w:rPr>
                <w:rFonts w:hint="eastAsia" w:ascii="Courier New" w:hAnsi="Courier New" w:eastAsia="宋体" w:cs="Courier New"/>
                <w:color w:val="auto"/>
                <w:sz w:val="18"/>
                <w:szCs w:val="18"/>
                <w:highlight w:val="none"/>
                <w:lang w:eastAsia="zh-CN"/>
              </w:rPr>
              <w:t>有效诊断、及时修复</w:t>
            </w:r>
            <w:r>
              <w:rPr>
                <w:rFonts w:ascii="Courier New" w:hAnsi="Courier New" w:eastAsia="宋体" w:cs="Courier New"/>
                <w:color w:val="auto"/>
                <w:sz w:val="18"/>
                <w:szCs w:val="18"/>
                <w:highlight w:val="none"/>
              </w:rPr>
              <w:t>故障</w:t>
            </w:r>
            <w:r>
              <w:rPr>
                <w:rFonts w:hint="eastAsia" w:ascii="Courier New" w:hAnsi="Courier New" w:eastAsia="宋体" w:cs="Courier New"/>
                <w:color w:val="auto"/>
                <w:sz w:val="18"/>
                <w:szCs w:val="18"/>
                <w:highlight w:val="none"/>
                <w:lang w:eastAsia="zh-CN"/>
              </w:rPr>
              <w:t>，并完整记录归档，未能以最大限度地减少设备故障对招标人业务运营造成的影响。</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6EB1DCEA">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2分/次</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EA11B35">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39D0EA36">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r>
      <w:tr w14:paraId="5D9A039B">
        <w:tblPrEx>
          <w:tblCellMar>
            <w:top w:w="0" w:type="dxa"/>
            <w:left w:w="108" w:type="dxa"/>
            <w:bottom w:w="0" w:type="dxa"/>
            <w:right w:w="108" w:type="dxa"/>
          </w:tblCellMar>
        </w:tblPrEx>
        <w:trPr>
          <w:trHeight w:val="1464" w:hRule="atLeast"/>
        </w:trPr>
        <w:tc>
          <w:tcPr>
            <w:tcW w:w="680" w:type="dxa"/>
            <w:vMerge w:val="continue"/>
            <w:tcBorders>
              <w:left w:val="single" w:color="auto" w:sz="4" w:space="0"/>
              <w:bottom w:val="single" w:color="auto" w:sz="4" w:space="0"/>
              <w:right w:val="single" w:color="auto" w:sz="4" w:space="0"/>
            </w:tcBorders>
            <w:vAlign w:val="center"/>
          </w:tcPr>
          <w:p w14:paraId="58E2A87C">
            <w:pPr>
              <w:widowControl/>
              <w:jc w:val="left"/>
              <w:rPr>
                <w:rFonts w:ascii="Courier New" w:hAnsi="Courier New" w:eastAsia="宋体" w:cs="Courier New"/>
                <w:color w:val="auto"/>
                <w:sz w:val="18"/>
                <w:szCs w:val="18"/>
                <w:highlight w:val="none"/>
              </w:rPr>
            </w:pPr>
          </w:p>
        </w:tc>
        <w:tc>
          <w:tcPr>
            <w:tcW w:w="783" w:type="dxa"/>
            <w:gridSpan w:val="2"/>
            <w:vMerge w:val="continue"/>
            <w:tcBorders>
              <w:left w:val="single" w:color="auto" w:sz="4" w:space="0"/>
              <w:bottom w:val="single" w:color="auto" w:sz="4" w:space="0"/>
              <w:right w:val="single" w:color="auto" w:sz="4" w:space="0"/>
            </w:tcBorders>
            <w:vAlign w:val="center"/>
          </w:tcPr>
          <w:p w14:paraId="3BABA71C">
            <w:pPr>
              <w:widowControl/>
              <w:jc w:val="left"/>
              <w:rPr>
                <w:rFonts w:ascii="Courier New" w:hAnsi="Courier New" w:eastAsia="宋体" w:cs="Courier New"/>
                <w:color w:val="auto"/>
                <w:sz w:val="18"/>
                <w:szCs w:val="18"/>
                <w:highlight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84A2360">
            <w:pPr>
              <w:widowControl/>
              <w:jc w:val="center"/>
              <w:rPr>
                <w:rFonts w:hint="eastAsia" w:ascii="Courier New" w:hAnsi="Courier New" w:eastAsia="宋体" w:cs="Courier New"/>
                <w:color w:val="auto"/>
                <w:sz w:val="18"/>
                <w:szCs w:val="18"/>
                <w:highlight w:val="none"/>
                <w:lang w:eastAsia="zh-CN"/>
              </w:rPr>
            </w:pPr>
            <w:r>
              <w:rPr>
                <w:rFonts w:hint="eastAsia" w:ascii="Courier New" w:hAnsi="Courier New" w:cs="Courier New"/>
                <w:color w:val="auto"/>
                <w:sz w:val="18"/>
                <w:szCs w:val="18"/>
                <w:highlight w:val="none"/>
                <w:lang w:eastAsia="zh-CN"/>
              </w:rPr>
              <w:t>巡检有效性验证</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788B3C60">
            <w:pPr>
              <w:widowControl/>
              <w:jc w:val="left"/>
              <w:rPr>
                <w:rFonts w:hint="eastAsia" w:ascii="Courier New" w:hAnsi="Courier New" w:cs="Courier New"/>
                <w:color w:val="auto"/>
                <w:sz w:val="18"/>
                <w:szCs w:val="18"/>
                <w:highlight w:val="none"/>
                <w:lang w:val="en-US" w:eastAsia="zh-CN"/>
              </w:rPr>
            </w:pPr>
            <w:r>
              <w:rPr>
                <w:rFonts w:hint="eastAsia" w:ascii="Courier New" w:hAnsi="Courier New" w:cs="Courier New"/>
                <w:color w:val="auto"/>
                <w:sz w:val="18"/>
                <w:szCs w:val="18"/>
                <w:highlight w:val="none"/>
                <w:lang w:val="en-US" w:eastAsia="zh-CN"/>
              </w:rPr>
              <w:t>在设备完成巡检且巡检结论为“正常”或“无异常”后，若该设备在5个自然日内发生故障并生成维修工单，则视为一次巡检有效性不足。</w:t>
            </w:r>
          </w:p>
          <w:p w14:paraId="60499918">
            <w:pPr>
              <w:widowControl/>
              <w:jc w:val="left"/>
              <w:rPr>
                <w:rFonts w:hint="eastAsia" w:ascii="Courier New" w:hAnsi="Courier New" w:cs="Courier New"/>
                <w:color w:val="auto"/>
                <w:sz w:val="18"/>
                <w:szCs w:val="18"/>
                <w:highlight w:val="none"/>
                <w:lang w:val="en-US" w:eastAsia="zh-CN"/>
              </w:rPr>
            </w:pPr>
            <w:r>
              <w:rPr>
                <w:rFonts w:hint="eastAsia" w:ascii="Courier New" w:hAnsi="Courier New" w:cs="Courier New"/>
                <w:color w:val="auto"/>
                <w:sz w:val="18"/>
                <w:szCs w:val="18"/>
                <w:highlight w:val="none"/>
                <w:lang w:val="en-US" w:eastAsia="zh-CN"/>
              </w:rPr>
              <w:t>每出现一例上述情况，扣减0.5分。</w:t>
            </w:r>
          </w:p>
          <w:p w14:paraId="6AF150F0">
            <w:pPr>
              <w:widowControl/>
              <w:jc w:val="left"/>
              <w:rPr>
                <w:rFonts w:hint="default"/>
                <w:lang w:val="en-US" w:eastAsia="zh-CN"/>
              </w:rPr>
            </w:pPr>
            <w:r>
              <w:rPr>
                <w:rFonts w:hint="eastAsia" w:ascii="Courier New" w:hAnsi="Courier New" w:cs="Courier New"/>
                <w:color w:val="auto"/>
                <w:sz w:val="18"/>
                <w:szCs w:val="18"/>
                <w:highlight w:val="none"/>
                <w:lang w:val="en-US" w:eastAsia="zh-CN"/>
              </w:rPr>
              <w:t>因</w:t>
            </w:r>
            <w:r>
              <w:rPr>
                <w:rFonts w:hint="default" w:ascii="Courier New" w:hAnsi="Courier New" w:cs="Courier New"/>
                <w:color w:val="auto"/>
                <w:sz w:val="18"/>
                <w:szCs w:val="18"/>
                <w:highlight w:val="none"/>
                <w:lang w:val="en-US" w:eastAsia="zh-CN"/>
              </w:rPr>
              <w:t>外部不可抗力或人为操作导致的设备故障</w:t>
            </w:r>
            <w:r>
              <w:rPr>
                <w:rFonts w:hint="eastAsia" w:ascii="Courier New" w:hAnsi="Courier New" w:cs="Courier New"/>
                <w:color w:val="auto"/>
                <w:sz w:val="18"/>
                <w:szCs w:val="18"/>
                <w:highlight w:val="none"/>
                <w:lang w:val="en-US" w:eastAsia="zh-CN"/>
              </w:rPr>
              <w:t>不计入考核范围</w:t>
            </w:r>
            <w:r>
              <w:rPr>
                <w:rFonts w:hint="default" w:ascii="Courier New" w:hAnsi="Courier New" w:cs="Courier New"/>
                <w:color w:val="auto"/>
                <w:sz w:val="18"/>
                <w:szCs w:val="18"/>
                <w:highlight w:val="none"/>
                <w:lang w:val="en-US" w:eastAsia="zh-CN"/>
              </w:rPr>
              <w:t>；</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130CCF61">
            <w:pPr>
              <w:widowControl/>
              <w:jc w:val="center"/>
              <w:rPr>
                <w:rFonts w:hint="default" w:ascii="Courier New" w:hAnsi="Courier New" w:eastAsia="宋体" w:cs="Courier New"/>
                <w:color w:val="auto"/>
                <w:sz w:val="18"/>
                <w:szCs w:val="18"/>
                <w:highlight w:val="none"/>
                <w:lang w:val="en-US" w:eastAsia="zh-CN"/>
              </w:rPr>
            </w:pPr>
            <w:r>
              <w:rPr>
                <w:rFonts w:hint="eastAsia" w:ascii="Courier New" w:hAnsi="Courier New" w:cs="Courier New"/>
                <w:color w:val="auto"/>
                <w:sz w:val="18"/>
                <w:szCs w:val="18"/>
                <w:highlight w:val="none"/>
                <w:lang w:val="en-US" w:eastAsia="zh-CN"/>
              </w:rPr>
              <w:t>0.5</w:t>
            </w:r>
            <w:r>
              <w:rPr>
                <w:rFonts w:ascii="Courier New" w:hAnsi="Courier New" w:eastAsia="宋体" w:cs="Courier New"/>
                <w:color w:val="auto"/>
                <w:sz w:val="18"/>
                <w:szCs w:val="18"/>
                <w:highlight w:val="none"/>
              </w:rPr>
              <w:t>分/次</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B09BA89">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472ABB91">
            <w:pPr>
              <w:widowControl/>
              <w:jc w:val="left"/>
              <w:rPr>
                <w:rFonts w:hint="eastAsia" w:ascii="宋体" w:hAnsi="宋体" w:eastAsia="宋体" w:cs="宋体"/>
                <w:color w:val="auto"/>
                <w:sz w:val="18"/>
                <w:szCs w:val="18"/>
                <w:highlight w:val="none"/>
              </w:rPr>
            </w:pPr>
          </w:p>
        </w:tc>
      </w:tr>
      <w:tr w14:paraId="7FE8197D">
        <w:tblPrEx>
          <w:tblCellMar>
            <w:top w:w="0" w:type="dxa"/>
            <w:left w:w="108" w:type="dxa"/>
            <w:bottom w:w="0" w:type="dxa"/>
            <w:right w:w="108" w:type="dxa"/>
          </w:tblCellMar>
        </w:tblPrEx>
        <w:trPr>
          <w:trHeight w:val="721" w:hRule="atLeast"/>
        </w:trPr>
        <w:tc>
          <w:tcPr>
            <w:tcW w:w="680" w:type="dxa"/>
            <w:vMerge w:val="restart"/>
            <w:tcBorders>
              <w:top w:val="single" w:color="auto" w:sz="4" w:space="0"/>
              <w:left w:val="single" w:color="auto" w:sz="4" w:space="0"/>
              <w:right w:val="single" w:color="auto" w:sz="4" w:space="0"/>
            </w:tcBorders>
            <w:shd w:val="clear" w:color="auto" w:fill="auto"/>
            <w:vAlign w:val="center"/>
          </w:tcPr>
          <w:p w14:paraId="60F3AED4">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2</w:t>
            </w:r>
          </w:p>
        </w:tc>
        <w:tc>
          <w:tcPr>
            <w:tcW w:w="783" w:type="dxa"/>
            <w:gridSpan w:val="2"/>
            <w:vMerge w:val="restart"/>
            <w:tcBorders>
              <w:top w:val="single" w:color="auto" w:sz="4" w:space="0"/>
              <w:left w:val="single" w:color="auto" w:sz="4" w:space="0"/>
              <w:right w:val="single" w:color="auto" w:sz="4" w:space="0"/>
            </w:tcBorders>
            <w:shd w:val="clear" w:color="auto" w:fill="auto"/>
            <w:vAlign w:val="center"/>
          </w:tcPr>
          <w:p w14:paraId="02E32384">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维护</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23821B5">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与</w:t>
            </w:r>
            <w:r>
              <w:rPr>
                <w:rFonts w:hint="eastAsia" w:ascii="Courier New" w:hAnsi="Courier New" w:cs="Courier New"/>
                <w:color w:val="auto"/>
                <w:sz w:val="18"/>
                <w:szCs w:val="18"/>
                <w:highlight w:val="none"/>
                <w:lang w:eastAsia="zh-CN"/>
              </w:rPr>
              <w:t>招标人</w:t>
            </w:r>
            <w:r>
              <w:rPr>
                <w:rFonts w:ascii="Courier New" w:hAnsi="Courier New" w:eastAsia="宋体" w:cs="Courier New"/>
                <w:color w:val="auto"/>
                <w:sz w:val="18"/>
                <w:szCs w:val="18"/>
                <w:highlight w:val="none"/>
              </w:rPr>
              <w:t>营业厅配合</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578E0087">
            <w:pPr>
              <w:widowControl/>
              <w:jc w:val="left"/>
              <w:rPr>
                <w:rFonts w:hint="eastAsia" w:ascii="Courier New" w:hAnsi="Courier New" w:eastAsia="宋体" w:cs="Courier New"/>
                <w:color w:val="auto"/>
                <w:sz w:val="18"/>
                <w:szCs w:val="18"/>
                <w:highlight w:val="none"/>
                <w:lang w:eastAsia="zh-CN"/>
              </w:rPr>
            </w:pPr>
            <w:r>
              <w:rPr>
                <w:rFonts w:hint="eastAsia" w:ascii="Courier New" w:hAnsi="Courier New" w:cs="Courier New"/>
                <w:color w:val="auto"/>
                <w:sz w:val="18"/>
                <w:szCs w:val="18"/>
                <w:highlight w:val="none"/>
                <w:lang w:val="en-US" w:eastAsia="zh-CN"/>
              </w:rPr>
              <w:t>中标</w:t>
            </w:r>
            <w:r>
              <w:rPr>
                <w:rFonts w:hint="eastAsia" w:ascii="Courier New" w:hAnsi="Courier New" w:cs="Courier New"/>
                <w:color w:val="auto"/>
                <w:sz w:val="18"/>
                <w:szCs w:val="18"/>
                <w:highlight w:val="none"/>
                <w:lang w:eastAsia="zh-CN"/>
              </w:rPr>
              <w:t>人</w:t>
            </w:r>
            <w:r>
              <w:rPr>
                <w:rFonts w:ascii="Courier New" w:hAnsi="Courier New" w:eastAsia="宋体" w:cs="Courier New"/>
                <w:color w:val="auto"/>
                <w:sz w:val="18"/>
                <w:szCs w:val="18"/>
                <w:highlight w:val="none"/>
              </w:rPr>
              <w:t>与</w:t>
            </w:r>
            <w:r>
              <w:rPr>
                <w:rFonts w:hint="eastAsia" w:ascii="Courier New" w:hAnsi="Courier New" w:cs="Courier New"/>
                <w:color w:val="auto"/>
                <w:sz w:val="18"/>
                <w:szCs w:val="18"/>
                <w:highlight w:val="none"/>
                <w:lang w:eastAsia="zh-CN"/>
              </w:rPr>
              <w:t>招标人</w:t>
            </w:r>
            <w:r>
              <w:rPr>
                <w:rFonts w:ascii="Courier New" w:hAnsi="Courier New" w:eastAsia="宋体" w:cs="Courier New"/>
                <w:color w:val="auto"/>
                <w:sz w:val="18"/>
                <w:szCs w:val="18"/>
                <w:highlight w:val="none"/>
              </w:rPr>
              <w:t>营业厅等设备安置场所配合方面存在问题，并引起</w:t>
            </w:r>
            <w:r>
              <w:rPr>
                <w:rFonts w:hint="eastAsia" w:ascii="Courier New" w:hAnsi="Courier New" w:cs="Courier New"/>
                <w:color w:val="auto"/>
                <w:sz w:val="18"/>
                <w:szCs w:val="18"/>
                <w:highlight w:val="none"/>
                <w:lang w:eastAsia="zh-CN"/>
              </w:rPr>
              <w:t>招标人</w:t>
            </w:r>
            <w:r>
              <w:rPr>
                <w:rFonts w:ascii="Courier New" w:hAnsi="Courier New" w:eastAsia="宋体" w:cs="Courier New"/>
                <w:color w:val="auto"/>
                <w:sz w:val="18"/>
                <w:szCs w:val="18"/>
                <w:highlight w:val="none"/>
              </w:rPr>
              <w:t>管理人员的有效投诉</w:t>
            </w:r>
            <w:r>
              <w:rPr>
                <w:rFonts w:hint="eastAsia" w:ascii="Courier New" w:hAnsi="Courier New" w:cs="Courier New"/>
                <w:color w:val="auto"/>
                <w:sz w:val="18"/>
                <w:szCs w:val="18"/>
                <w:highlight w:val="none"/>
                <w:lang w:eastAsia="zh-CN"/>
              </w:rPr>
              <w:t>。</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0070ECBB">
            <w:pPr>
              <w:widowControl/>
              <w:jc w:val="center"/>
              <w:rPr>
                <w:rFonts w:ascii="Courier New" w:hAnsi="Courier New" w:eastAsia="宋体" w:cs="Courier New"/>
                <w:color w:val="auto"/>
                <w:sz w:val="18"/>
                <w:szCs w:val="18"/>
                <w:highlight w:val="none"/>
              </w:rPr>
            </w:pPr>
            <w:r>
              <w:rPr>
                <w:rFonts w:hint="eastAsia" w:ascii="Courier New" w:hAnsi="Courier New" w:cs="Courier New"/>
                <w:color w:val="auto"/>
                <w:sz w:val="18"/>
                <w:szCs w:val="18"/>
                <w:highlight w:val="none"/>
                <w:lang w:val="en-US" w:eastAsia="zh-CN"/>
              </w:rPr>
              <w:t>2</w:t>
            </w:r>
            <w:r>
              <w:rPr>
                <w:rFonts w:ascii="Courier New" w:hAnsi="Courier New" w:eastAsia="宋体" w:cs="Courier New"/>
                <w:color w:val="auto"/>
                <w:sz w:val="18"/>
                <w:szCs w:val="18"/>
                <w:highlight w:val="none"/>
              </w:rPr>
              <w:t>分/次</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461CC63">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674691F7">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r>
      <w:tr w14:paraId="546E4D50">
        <w:tblPrEx>
          <w:tblCellMar>
            <w:top w:w="0" w:type="dxa"/>
            <w:left w:w="108" w:type="dxa"/>
            <w:bottom w:w="0" w:type="dxa"/>
            <w:right w:w="108" w:type="dxa"/>
          </w:tblCellMar>
        </w:tblPrEx>
        <w:trPr>
          <w:trHeight w:val="798" w:hRule="atLeast"/>
        </w:trPr>
        <w:tc>
          <w:tcPr>
            <w:tcW w:w="680" w:type="dxa"/>
            <w:vMerge w:val="continue"/>
            <w:tcBorders>
              <w:left w:val="single" w:color="auto" w:sz="4" w:space="0"/>
              <w:right w:val="single" w:color="auto" w:sz="4" w:space="0"/>
            </w:tcBorders>
            <w:vAlign w:val="center"/>
          </w:tcPr>
          <w:p w14:paraId="6876C724">
            <w:pPr>
              <w:widowControl/>
              <w:jc w:val="left"/>
              <w:rPr>
                <w:rFonts w:ascii="Courier New" w:hAnsi="Courier New" w:eastAsia="宋体" w:cs="Courier New"/>
                <w:color w:val="auto"/>
                <w:sz w:val="18"/>
                <w:szCs w:val="18"/>
                <w:highlight w:val="none"/>
              </w:rPr>
            </w:pPr>
          </w:p>
        </w:tc>
        <w:tc>
          <w:tcPr>
            <w:tcW w:w="783" w:type="dxa"/>
            <w:gridSpan w:val="2"/>
            <w:vMerge w:val="continue"/>
            <w:tcBorders>
              <w:left w:val="single" w:color="auto" w:sz="4" w:space="0"/>
              <w:right w:val="single" w:color="auto" w:sz="4" w:space="0"/>
            </w:tcBorders>
            <w:vAlign w:val="center"/>
          </w:tcPr>
          <w:p w14:paraId="1EC09110">
            <w:pPr>
              <w:widowControl/>
              <w:jc w:val="left"/>
              <w:rPr>
                <w:rFonts w:ascii="Courier New" w:hAnsi="Courier New" w:eastAsia="宋体" w:cs="Courier New"/>
                <w:color w:val="auto"/>
                <w:sz w:val="18"/>
                <w:szCs w:val="18"/>
                <w:highlight w:val="none"/>
              </w:rPr>
            </w:pPr>
          </w:p>
        </w:tc>
        <w:tc>
          <w:tcPr>
            <w:tcW w:w="1500" w:type="dxa"/>
            <w:vMerge w:val="restart"/>
            <w:tcBorders>
              <w:top w:val="single" w:color="auto" w:sz="4" w:space="0"/>
              <w:left w:val="single" w:color="auto" w:sz="4" w:space="0"/>
              <w:right w:val="single" w:color="auto" w:sz="4" w:space="0"/>
            </w:tcBorders>
            <w:shd w:val="clear" w:color="auto" w:fill="auto"/>
            <w:vAlign w:val="center"/>
          </w:tcPr>
          <w:p w14:paraId="2546CA9F">
            <w:pPr>
              <w:widowControl/>
              <w:jc w:val="center"/>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被相关部门通报</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62F63D9B">
            <w:pPr>
              <w:widowControl/>
              <w:jc w:val="left"/>
              <w:rPr>
                <w:rFonts w:hint="eastAsia" w:ascii="Courier New" w:hAnsi="Courier New" w:eastAsia="宋体" w:cs="Courier New"/>
                <w:color w:val="auto"/>
                <w:sz w:val="18"/>
                <w:szCs w:val="18"/>
                <w:highlight w:val="none"/>
                <w:lang w:eastAsia="zh-CN"/>
              </w:rPr>
            </w:pPr>
            <w:r>
              <w:rPr>
                <w:rFonts w:hint="eastAsia" w:ascii="Courier New" w:hAnsi="Courier New" w:eastAsia="宋体" w:cs="Courier New"/>
                <w:color w:val="auto"/>
                <w:sz w:val="18"/>
                <w:szCs w:val="18"/>
                <w:highlight w:val="none"/>
              </w:rPr>
              <w:t>未按时解决信息安全中心发布的安全漏铜整改报告中涉及的中风险漏洞或以上，被相关部门通报的</w:t>
            </w:r>
            <w:r>
              <w:rPr>
                <w:rFonts w:hint="eastAsia" w:ascii="Courier New" w:hAnsi="Courier New" w:cs="Courier New"/>
                <w:color w:val="auto"/>
                <w:sz w:val="18"/>
                <w:szCs w:val="18"/>
                <w:highlight w:val="none"/>
                <w:lang w:eastAsia="zh-CN"/>
              </w:rPr>
              <w:t>。</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70169DB5">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2</w:t>
            </w:r>
            <w:r>
              <w:rPr>
                <w:rFonts w:hint="eastAsia" w:ascii="Courier New" w:hAnsi="Courier New" w:eastAsia="宋体" w:cs="Courier New"/>
                <w:color w:val="auto"/>
                <w:sz w:val="18"/>
                <w:szCs w:val="18"/>
                <w:highlight w:val="none"/>
              </w:rPr>
              <w:t>分/次</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E718F1C">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162CF744">
            <w:pPr>
              <w:widowControl/>
              <w:jc w:val="left"/>
              <w:rPr>
                <w:rFonts w:ascii="宋体" w:hAnsi="宋体" w:eastAsia="宋体" w:cs="宋体"/>
                <w:color w:val="auto"/>
                <w:sz w:val="18"/>
                <w:szCs w:val="18"/>
                <w:highlight w:val="none"/>
              </w:rPr>
            </w:pPr>
          </w:p>
        </w:tc>
      </w:tr>
      <w:tr w14:paraId="789A951F">
        <w:tblPrEx>
          <w:tblCellMar>
            <w:top w:w="0" w:type="dxa"/>
            <w:left w:w="108" w:type="dxa"/>
            <w:bottom w:w="0" w:type="dxa"/>
            <w:right w:w="108" w:type="dxa"/>
          </w:tblCellMar>
        </w:tblPrEx>
        <w:trPr>
          <w:trHeight w:val="834" w:hRule="atLeast"/>
        </w:trPr>
        <w:tc>
          <w:tcPr>
            <w:tcW w:w="680" w:type="dxa"/>
            <w:vMerge w:val="continue"/>
            <w:tcBorders>
              <w:left w:val="single" w:color="auto" w:sz="4" w:space="0"/>
              <w:bottom w:val="single" w:color="auto" w:sz="4" w:space="0"/>
              <w:right w:val="single" w:color="auto" w:sz="4" w:space="0"/>
            </w:tcBorders>
            <w:vAlign w:val="center"/>
          </w:tcPr>
          <w:p w14:paraId="2B30DB9F">
            <w:pPr>
              <w:widowControl/>
              <w:jc w:val="left"/>
              <w:rPr>
                <w:rFonts w:ascii="Courier New" w:hAnsi="Courier New" w:eastAsia="宋体" w:cs="Courier New"/>
                <w:color w:val="auto"/>
                <w:sz w:val="18"/>
                <w:szCs w:val="18"/>
                <w:highlight w:val="none"/>
              </w:rPr>
            </w:pPr>
          </w:p>
        </w:tc>
        <w:tc>
          <w:tcPr>
            <w:tcW w:w="783" w:type="dxa"/>
            <w:gridSpan w:val="2"/>
            <w:vMerge w:val="continue"/>
            <w:tcBorders>
              <w:left w:val="single" w:color="auto" w:sz="4" w:space="0"/>
              <w:bottom w:val="single" w:color="auto" w:sz="4" w:space="0"/>
              <w:right w:val="single" w:color="auto" w:sz="4" w:space="0"/>
            </w:tcBorders>
            <w:vAlign w:val="center"/>
          </w:tcPr>
          <w:p w14:paraId="25946079">
            <w:pPr>
              <w:widowControl/>
              <w:jc w:val="left"/>
              <w:rPr>
                <w:rFonts w:ascii="Courier New" w:hAnsi="Courier New" w:eastAsia="宋体" w:cs="Courier New"/>
                <w:color w:val="auto"/>
                <w:sz w:val="18"/>
                <w:szCs w:val="18"/>
                <w:highlight w:val="none"/>
              </w:rPr>
            </w:pPr>
          </w:p>
        </w:tc>
        <w:tc>
          <w:tcPr>
            <w:tcW w:w="1500" w:type="dxa"/>
            <w:vMerge w:val="continue"/>
            <w:tcBorders>
              <w:left w:val="single" w:color="auto" w:sz="4" w:space="0"/>
              <w:bottom w:val="single" w:color="auto" w:sz="4" w:space="0"/>
              <w:right w:val="single" w:color="auto" w:sz="4" w:space="0"/>
            </w:tcBorders>
            <w:shd w:val="clear" w:color="auto" w:fill="auto"/>
            <w:vAlign w:val="center"/>
          </w:tcPr>
          <w:p w14:paraId="168B4531">
            <w:pPr>
              <w:widowControl/>
              <w:jc w:val="center"/>
              <w:rPr>
                <w:rFonts w:hint="eastAsia" w:ascii="Courier New" w:hAnsi="Courier New" w:eastAsia="宋体" w:cs="Courier New"/>
                <w:color w:val="auto"/>
                <w:sz w:val="18"/>
                <w:szCs w:val="18"/>
                <w:highlight w:val="none"/>
              </w:rPr>
            </w:pP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60B44CA4">
            <w:pPr>
              <w:widowControl/>
              <w:jc w:val="left"/>
              <w:rPr>
                <w:rFonts w:hint="eastAsia"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在网络安全运行、自主可控、等保测评、商密评估、网络安全”三同步“管控等方面，每出现一次被国家监管单位发现或通报扣</w:t>
            </w:r>
            <w:r>
              <w:rPr>
                <w:rFonts w:hint="eastAsia" w:ascii="Courier New" w:hAnsi="Courier New" w:cs="Courier New"/>
                <w:color w:val="auto"/>
                <w:sz w:val="18"/>
                <w:szCs w:val="18"/>
                <w:highlight w:val="none"/>
                <w:lang w:val="en-US" w:eastAsia="zh-CN"/>
              </w:rPr>
              <w:t>3</w:t>
            </w:r>
            <w:r>
              <w:rPr>
                <w:rFonts w:hint="eastAsia" w:ascii="Courier New" w:hAnsi="Courier New" w:eastAsia="宋体" w:cs="Courier New"/>
                <w:color w:val="auto"/>
                <w:sz w:val="18"/>
                <w:szCs w:val="18"/>
                <w:highlight w:val="none"/>
              </w:rPr>
              <w:t>0分，被网省公司发现或通报扣</w:t>
            </w:r>
            <w:r>
              <w:rPr>
                <w:rFonts w:hint="eastAsia" w:ascii="Courier New" w:hAnsi="Courier New" w:cs="Courier New"/>
                <w:color w:val="auto"/>
                <w:sz w:val="18"/>
                <w:szCs w:val="18"/>
                <w:highlight w:val="none"/>
                <w:lang w:val="en-US" w:eastAsia="zh-CN"/>
              </w:rPr>
              <w:t>15</w:t>
            </w:r>
            <w:r>
              <w:rPr>
                <w:rFonts w:hint="eastAsia" w:ascii="Courier New" w:hAnsi="Courier New" w:eastAsia="宋体" w:cs="Courier New"/>
                <w:color w:val="auto"/>
                <w:sz w:val="18"/>
                <w:szCs w:val="18"/>
                <w:highlight w:val="none"/>
              </w:rPr>
              <w:t>分，被局通报扣</w:t>
            </w:r>
            <w:r>
              <w:rPr>
                <w:rFonts w:hint="eastAsia" w:ascii="Courier New" w:hAnsi="Courier New" w:cs="Courier New"/>
                <w:color w:val="auto"/>
                <w:sz w:val="18"/>
                <w:szCs w:val="18"/>
                <w:highlight w:val="none"/>
                <w:lang w:val="en-US" w:eastAsia="zh-CN"/>
              </w:rPr>
              <w:t>8</w:t>
            </w:r>
            <w:r>
              <w:rPr>
                <w:rFonts w:hint="eastAsia" w:ascii="Courier New" w:hAnsi="Courier New" w:eastAsia="宋体" w:cs="Courier New"/>
                <w:color w:val="auto"/>
                <w:sz w:val="18"/>
                <w:szCs w:val="18"/>
                <w:highlight w:val="none"/>
              </w:rPr>
              <w:t>分。</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6DE4F7AE">
            <w:pPr>
              <w:widowControl/>
              <w:jc w:val="center"/>
              <w:rPr>
                <w:rFonts w:hint="eastAsia" w:ascii="Courier New" w:hAnsi="Courier New" w:eastAsia="宋体" w:cs="Courier New"/>
                <w:color w:val="auto"/>
                <w:sz w:val="18"/>
                <w:szCs w:val="18"/>
                <w:highlight w:val="none"/>
                <w:lang w:eastAsia="zh-CN"/>
              </w:rPr>
            </w:pPr>
            <w:r>
              <w:rPr>
                <w:rFonts w:hint="eastAsia" w:ascii="Courier New" w:hAnsi="Courier New" w:cs="Courier New"/>
                <w:color w:val="auto"/>
                <w:sz w:val="18"/>
                <w:szCs w:val="18"/>
                <w:highlight w:val="none"/>
                <w:lang w:eastAsia="zh-CN"/>
              </w:rPr>
              <w:t>见</w:t>
            </w:r>
            <w:r>
              <w:rPr>
                <w:rFonts w:hint="eastAsia" w:ascii="Courier New" w:hAnsi="Courier New" w:cs="Courier New"/>
                <w:color w:val="auto"/>
                <w:sz w:val="18"/>
                <w:szCs w:val="18"/>
                <w:highlight w:val="none"/>
                <w:lang w:val="en-US" w:eastAsia="zh-CN"/>
              </w:rPr>
              <w:t>详细</w:t>
            </w:r>
            <w:r>
              <w:rPr>
                <w:rFonts w:hint="eastAsia" w:ascii="Courier New" w:hAnsi="Courier New" w:cs="Courier New"/>
                <w:color w:val="auto"/>
                <w:sz w:val="18"/>
                <w:szCs w:val="18"/>
                <w:highlight w:val="none"/>
                <w:lang w:eastAsia="zh-CN"/>
              </w:rPr>
              <w:t>描述</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AC339CC">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6F950A40">
            <w:pPr>
              <w:widowControl/>
              <w:jc w:val="left"/>
              <w:rPr>
                <w:rFonts w:ascii="宋体" w:hAnsi="宋体" w:eastAsia="宋体" w:cs="宋体"/>
                <w:color w:val="auto"/>
                <w:sz w:val="18"/>
                <w:szCs w:val="18"/>
                <w:highlight w:val="none"/>
              </w:rPr>
            </w:pPr>
          </w:p>
        </w:tc>
      </w:tr>
      <w:tr w14:paraId="4E313CE7">
        <w:tblPrEx>
          <w:tblCellMar>
            <w:top w:w="0" w:type="dxa"/>
            <w:left w:w="108" w:type="dxa"/>
            <w:bottom w:w="0" w:type="dxa"/>
            <w:right w:w="108" w:type="dxa"/>
          </w:tblCellMar>
        </w:tblPrEx>
        <w:trPr>
          <w:trHeight w:val="705"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7EE14524">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3</w:t>
            </w:r>
          </w:p>
        </w:tc>
        <w:tc>
          <w:tcPr>
            <w:tcW w:w="7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1BB263">
            <w:pPr>
              <w:widowControl/>
              <w:jc w:val="center"/>
              <w:rPr>
                <w:rFonts w:ascii="Courier New" w:hAnsi="Courier New" w:eastAsia="宋体" w:cs="Courier New"/>
                <w:color w:val="auto"/>
                <w:sz w:val="18"/>
                <w:szCs w:val="18"/>
                <w:highlight w:val="none"/>
              </w:rPr>
            </w:pPr>
            <w:r>
              <w:rPr>
                <w:rFonts w:ascii="Courier New" w:hAnsi="Courier New" w:eastAsia="宋体" w:cs="Courier New"/>
                <w:color w:val="auto"/>
                <w:sz w:val="18"/>
                <w:szCs w:val="18"/>
                <w:highlight w:val="none"/>
              </w:rPr>
              <w:t>投诉</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D7CAAAB">
            <w:pPr>
              <w:widowControl/>
              <w:jc w:val="center"/>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违反保密协议</w:t>
            </w: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202A5EAC">
            <w:pPr>
              <w:widowControl/>
              <w:jc w:val="left"/>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发生违反保密协议条款的</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0F45E041">
            <w:pPr>
              <w:widowControl/>
              <w:jc w:val="center"/>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30分/次</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6B0D62A">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39DF07A4">
            <w:pPr>
              <w:widowControl/>
              <w:jc w:val="left"/>
              <w:rPr>
                <w:rFonts w:ascii="宋体" w:hAnsi="宋体" w:eastAsia="宋体" w:cs="宋体"/>
                <w:color w:val="auto"/>
                <w:sz w:val="18"/>
                <w:szCs w:val="18"/>
                <w:highlight w:val="none"/>
              </w:rPr>
            </w:pPr>
          </w:p>
        </w:tc>
      </w:tr>
      <w:tr w14:paraId="51F03617">
        <w:tblPrEx>
          <w:tblCellMar>
            <w:top w:w="0" w:type="dxa"/>
            <w:left w:w="108" w:type="dxa"/>
            <w:bottom w:w="0" w:type="dxa"/>
            <w:right w:w="108" w:type="dxa"/>
          </w:tblCellMar>
        </w:tblPrEx>
        <w:trPr>
          <w:trHeight w:val="611"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436ADE7C">
            <w:pPr>
              <w:widowControl/>
              <w:jc w:val="center"/>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4</w:t>
            </w:r>
          </w:p>
        </w:tc>
        <w:tc>
          <w:tcPr>
            <w:tcW w:w="7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D3F4BD">
            <w:pPr>
              <w:widowControl/>
              <w:jc w:val="center"/>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通报</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5910690">
            <w:pPr>
              <w:widowControl/>
              <w:jc w:val="center"/>
              <w:rPr>
                <w:rFonts w:ascii="Courier New" w:hAnsi="Courier New" w:eastAsia="宋体" w:cs="Courier New"/>
                <w:color w:val="auto"/>
                <w:sz w:val="18"/>
                <w:szCs w:val="18"/>
                <w:highlight w:val="none"/>
              </w:rPr>
            </w:pP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7555DA9F">
            <w:pPr>
              <w:widowControl/>
              <w:jc w:val="left"/>
              <w:rPr>
                <w:rFonts w:ascii="Courier New" w:hAnsi="Courier New" w:eastAsia="宋体" w:cs="Courier New"/>
                <w:color w:val="auto"/>
                <w:sz w:val="18"/>
                <w:szCs w:val="18"/>
                <w:highlight w:val="none"/>
              </w:rPr>
            </w:pP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4A782B19">
            <w:pPr>
              <w:widowControl/>
              <w:jc w:val="center"/>
              <w:rPr>
                <w:rFonts w:ascii="Courier New" w:hAnsi="Courier New" w:eastAsia="宋体" w:cs="Courier New"/>
                <w:color w:val="auto"/>
                <w:sz w:val="18"/>
                <w:szCs w:val="18"/>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0CF19EB">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7C8F62D0">
            <w:pPr>
              <w:widowControl/>
              <w:jc w:val="left"/>
              <w:rPr>
                <w:rFonts w:ascii="宋体" w:hAnsi="宋体" w:eastAsia="宋体" w:cs="宋体"/>
                <w:color w:val="auto"/>
                <w:sz w:val="18"/>
                <w:szCs w:val="18"/>
                <w:highlight w:val="none"/>
              </w:rPr>
            </w:pPr>
          </w:p>
        </w:tc>
      </w:tr>
      <w:tr w14:paraId="3A3CD95C">
        <w:tblPrEx>
          <w:tblCellMar>
            <w:top w:w="0" w:type="dxa"/>
            <w:left w:w="108" w:type="dxa"/>
            <w:bottom w:w="0" w:type="dxa"/>
            <w:right w:w="108" w:type="dxa"/>
          </w:tblCellMar>
        </w:tblPrEx>
        <w:trPr>
          <w:trHeight w:val="579"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58794246">
            <w:pPr>
              <w:widowControl/>
              <w:jc w:val="center"/>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5</w:t>
            </w:r>
          </w:p>
        </w:tc>
        <w:tc>
          <w:tcPr>
            <w:tcW w:w="7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90B3FF">
            <w:pPr>
              <w:widowControl/>
              <w:jc w:val="center"/>
              <w:rPr>
                <w:rFonts w:ascii="Courier New" w:hAnsi="Courier New" w:eastAsia="宋体" w:cs="Courier New"/>
                <w:color w:val="auto"/>
                <w:sz w:val="18"/>
                <w:szCs w:val="18"/>
                <w:highlight w:val="none"/>
              </w:rPr>
            </w:pPr>
            <w:r>
              <w:rPr>
                <w:rFonts w:hint="eastAsia" w:ascii="Courier New" w:hAnsi="Courier New" w:eastAsia="宋体" w:cs="Courier New"/>
                <w:color w:val="auto"/>
                <w:sz w:val="18"/>
                <w:szCs w:val="18"/>
                <w:highlight w:val="none"/>
              </w:rPr>
              <w:t>保密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151890C">
            <w:pPr>
              <w:widowControl/>
              <w:jc w:val="left"/>
              <w:rPr>
                <w:rFonts w:ascii="Courier New" w:hAnsi="Courier New" w:eastAsia="宋体" w:cs="Courier New"/>
                <w:color w:val="auto"/>
                <w:sz w:val="18"/>
                <w:szCs w:val="18"/>
                <w:highlight w:val="none"/>
              </w:rPr>
            </w:pPr>
          </w:p>
        </w:tc>
        <w:tc>
          <w:tcPr>
            <w:tcW w:w="5073" w:type="dxa"/>
            <w:tcBorders>
              <w:top w:val="single" w:color="auto" w:sz="4" w:space="0"/>
              <w:left w:val="single" w:color="auto" w:sz="4" w:space="0"/>
              <w:bottom w:val="single" w:color="auto" w:sz="4" w:space="0"/>
              <w:right w:val="single" w:color="auto" w:sz="4" w:space="0"/>
            </w:tcBorders>
            <w:shd w:val="clear" w:color="auto" w:fill="auto"/>
            <w:vAlign w:val="center"/>
          </w:tcPr>
          <w:p w14:paraId="2861BE84">
            <w:pPr>
              <w:widowControl/>
              <w:jc w:val="left"/>
              <w:rPr>
                <w:rFonts w:ascii="Courier New" w:hAnsi="Courier New" w:eastAsia="宋体" w:cs="Courier New"/>
                <w:color w:val="auto"/>
                <w:sz w:val="18"/>
                <w:szCs w:val="18"/>
                <w:highlight w:val="none"/>
              </w:rPr>
            </w:pP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6A7F95F2">
            <w:pPr>
              <w:widowControl/>
              <w:jc w:val="center"/>
              <w:rPr>
                <w:rFonts w:ascii="Courier New" w:hAnsi="Courier New" w:eastAsia="宋体" w:cs="Courier New"/>
                <w:color w:val="auto"/>
                <w:sz w:val="18"/>
                <w:szCs w:val="18"/>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BFB8DD2">
            <w:pPr>
              <w:widowControl/>
              <w:jc w:val="center"/>
              <w:rPr>
                <w:rFonts w:ascii="Courier New" w:hAnsi="Courier New" w:eastAsia="宋体" w:cs="Courier New"/>
                <w:color w:val="auto"/>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14:paraId="06A0B290">
            <w:pPr>
              <w:widowControl/>
              <w:jc w:val="left"/>
              <w:rPr>
                <w:rFonts w:ascii="宋体" w:hAnsi="宋体" w:eastAsia="宋体" w:cs="宋体"/>
                <w:color w:val="auto"/>
                <w:sz w:val="18"/>
                <w:szCs w:val="18"/>
                <w:highlight w:val="none"/>
              </w:rPr>
            </w:pPr>
          </w:p>
        </w:tc>
      </w:tr>
      <w:tr w14:paraId="4958962E">
        <w:tblPrEx>
          <w:tblCellMar>
            <w:top w:w="0" w:type="dxa"/>
            <w:left w:w="108" w:type="dxa"/>
            <w:bottom w:w="0" w:type="dxa"/>
            <w:right w:w="108" w:type="dxa"/>
          </w:tblCellMar>
        </w:tblPrEx>
        <w:trPr>
          <w:trHeight w:val="499" w:hRule="atLeast"/>
        </w:trPr>
        <w:tc>
          <w:tcPr>
            <w:tcW w:w="803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CDF8BBE">
            <w:pPr>
              <w:widowControl/>
              <w:jc w:val="center"/>
              <w:rPr>
                <w:rFonts w:hint="eastAsia" w:ascii="Courier New" w:hAnsi="Courier New" w:eastAsia="宋体" w:cs="Courier New"/>
                <w:color w:val="auto"/>
                <w:sz w:val="18"/>
                <w:szCs w:val="18"/>
                <w:highlight w:val="none"/>
                <w:lang w:val="en-US" w:eastAsia="zh-CN"/>
              </w:rPr>
            </w:pPr>
            <w:r>
              <w:rPr>
                <w:rFonts w:hint="eastAsia" w:ascii="Courier New" w:hAnsi="Courier New" w:eastAsia="宋体" w:cs="Courier New"/>
                <w:color w:val="auto"/>
                <w:sz w:val="18"/>
                <w:szCs w:val="18"/>
                <w:highlight w:val="none"/>
                <w:lang w:val="en-US" w:eastAsia="zh-CN"/>
              </w:rPr>
              <w:t>总得分（满分为100分）</w:t>
            </w:r>
          </w:p>
        </w:tc>
        <w:tc>
          <w:tcPr>
            <w:tcW w:w="271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9EE1A9">
            <w:pPr>
              <w:widowControl/>
              <w:jc w:val="left"/>
              <w:rPr>
                <w:rFonts w:ascii="宋体" w:hAnsi="宋体" w:eastAsia="宋体" w:cs="宋体"/>
                <w:color w:val="auto"/>
                <w:sz w:val="18"/>
                <w:szCs w:val="18"/>
                <w:highlight w:val="none"/>
              </w:rPr>
            </w:pPr>
          </w:p>
        </w:tc>
      </w:tr>
      <w:tr w14:paraId="0AC45CC4">
        <w:tblPrEx>
          <w:tblCellMar>
            <w:top w:w="0" w:type="dxa"/>
            <w:left w:w="108" w:type="dxa"/>
            <w:bottom w:w="0" w:type="dxa"/>
            <w:right w:w="108" w:type="dxa"/>
          </w:tblCellMar>
        </w:tblPrEx>
        <w:trPr>
          <w:trHeight w:val="979" w:hRule="atLeast"/>
        </w:trPr>
        <w:tc>
          <w:tcPr>
            <w:tcW w:w="1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C56C5D">
            <w:pPr>
              <w:widowControl/>
              <w:jc w:val="center"/>
              <w:rPr>
                <w:rFonts w:hint="eastAsia" w:ascii="Courier New" w:hAnsi="Courier New" w:eastAsia="宋体" w:cs="Courier New"/>
                <w:color w:val="auto"/>
                <w:sz w:val="18"/>
                <w:szCs w:val="18"/>
                <w:highlight w:val="none"/>
                <w:lang w:val="en-US" w:eastAsia="zh-CN"/>
              </w:rPr>
            </w:pPr>
            <w:r>
              <w:rPr>
                <w:rFonts w:hint="eastAsia" w:ascii="Courier New" w:hAnsi="Courier New" w:cs="Courier New"/>
                <w:color w:val="auto"/>
                <w:sz w:val="18"/>
                <w:szCs w:val="18"/>
                <w:highlight w:val="none"/>
                <w:lang w:val="en-US" w:eastAsia="zh-CN"/>
              </w:rPr>
              <w:t>考核意见</w:t>
            </w:r>
          </w:p>
        </w:tc>
        <w:tc>
          <w:tcPr>
            <w:tcW w:w="93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8DD0FB1">
            <w:pPr>
              <w:widowControl/>
              <w:jc w:val="left"/>
              <w:rPr>
                <w:rFonts w:ascii="宋体" w:hAnsi="宋体" w:eastAsia="宋体" w:cs="宋体"/>
                <w:color w:val="auto"/>
                <w:sz w:val="18"/>
                <w:szCs w:val="18"/>
                <w:highlight w:val="none"/>
              </w:rPr>
            </w:pPr>
          </w:p>
          <w:p w14:paraId="38DD1BA4">
            <w:pPr>
              <w:pStyle w:val="2"/>
              <w:rPr>
                <w:rFonts w:ascii="宋体" w:hAnsi="宋体" w:eastAsia="宋体" w:cs="宋体"/>
                <w:color w:val="auto"/>
                <w:sz w:val="18"/>
                <w:szCs w:val="18"/>
                <w:highlight w:val="none"/>
              </w:rPr>
            </w:pPr>
          </w:p>
          <w:p w14:paraId="20529E7E">
            <w:pPr>
              <w:rPr>
                <w:rFonts w:ascii="宋体" w:hAnsi="宋体" w:eastAsia="宋体" w:cs="宋体"/>
                <w:color w:val="auto"/>
                <w:sz w:val="18"/>
                <w:szCs w:val="18"/>
                <w:highlight w:val="none"/>
              </w:rPr>
            </w:pPr>
          </w:p>
          <w:p w14:paraId="2F1CEC71">
            <w:pPr>
              <w:pStyle w:val="2"/>
            </w:pPr>
          </w:p>
        </w:tc>
      </w:tr>
      <w:tr w14:paraId="6C982924">
        <w:tblPrEx>
          <w:tblCellMar>
            <w:top w:w="0" w:type="dxa"/>
            <w:left w:w="108" w:type="dxa"/>
            <w:bottom w:w="0" w:type="dxa"/>
            <w:right w:w="108" w:type="dxa"/>
          </w:tblCellMar>
        </w:tblPrEx>
        <w:trPr>
          <w:trHeight w:val="706" w:hRule="atLeast"/>
        </w:trPr>
        <w:tc>
          <w:tcPr>
            <w:tcW w:w="1075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F08A7D">
            <w:pPr>
              <w:widowControl/>
              <w:jc w:val="center"/>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 xml:space="preserve">                                                            营业厅（签名）：</w:t>
            </w:r>
          </w:p>
          <w:p w14:paraId="06E78C38">
            <w:pPr>
              <w:widowControl/>
              <w:jc w:val="center"/>
              <w:rPr>
                <w:rFonts w:hint="default"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 xml:space="preserve">                                                                     时间：</w:t>
            </w:r>
          </w:p>
        </w:tc>
      </w:tr>
    </w:tbl>
    <w:p w14:paraId="026ED16A">
      <w:pPr>
        <w:numPr>
          <w:ilvl w:val="0"/>
          <w:numId w:val="0"/>
        </w:numPr>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2</w:t>
      </w:r>
      <w:r>
        <w:rPr>
          <w:rFonts w:hint="eastAsia" w:ascii="宋体" w:hAnsi="宋体"/>
          <w:color w:val="auto"/>
          <w:spacing w:val="6"/>
          <w:szCs w:val="21"/>
          <w:highlight w:val="none"/>
          <w:lang w:eastAsia="zh-CN"/>
        </w:rPr>
        <w:t>、</w:t>
      </w:r>
      <w:r>
        <w:rPr>
          <w:rFonts w:hint="eastAsia" w:ascii="宋体" w:hAnsi="宋体"/>
          <w:color w:val="auto"/>
          <w:spacing w:val="6"/>
          <w:szCs w:val="21"/>
          <w:highlight w:val="none"/>
        </w:rPr>
        <w:t>考核服务兑现方式</w:t>
      </w:r>
    </w:p>
    <w:p w14:paraId="6625317D">
      <w:pPr>
        <w:numPr>
          <w:ilvl w:val="0"/>
          <w:numId w:val="0"/>
        </w:num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在合同服务期结束前，招标人按照本服务级别协议对中标人的服务进行服务评价。结合在服务期内各周期评价得分，取平均得分作为服务期内的总体评价得分，如果总体评价结果低于90分，将视为中标人违约，招标人向中标人支付最后一期合同款项时，按照以下规则扣减一定比例后支付：</w:t>
      </w:r>
    </w:p>
    <w:p w14:paraId="7A4C5C8F">
      <w:pPr>
        <w:numPr>
          <w:ilvl w:val="0"/>
          <w:numId w:val="0"/>
        </w:numPr>
        <w:spacing w:line="360" w:lineRule="auto"/>
        <w:ind w:left="420" w:leftChars="200" w:firstLine="0" w:firstLineChars="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评价分数低于90分且不低于85分，则扣减合同总额的5%；</w:t>
      </w:r>
    </w:p>
    <w:p w14:paraId="312F0572">
      <w:pPr>
        <w:numPr>
          <w:ilvl w:val="0"/>
          <w:numId w:val="0"/>
        </w:numPr>
        <w:spacing w:line="360" w:lineRule="auto"/>
        <w:ind w:left="420" w:leftChars="200" w:firstLine="0" w:firstLineChars="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评价分数低于85分且不低于80分，则扣减合同总额的10%；</w:t>
      </w:r>
      <w:bookmarkStart w:id="135" w:name="_GoBack"/>
      <w:bookmarkEnd w:id="135"/>
    </w:p>
    <w:p w14:paraId="224CD9FA">
      <w:pPr>
        <w:numPr>
          <w:ilvl w:val="0"/>
          <w:numId w:val="0"/>
        </w:numPr>
        <w:spacing w:line="360" w:lineRule="auto"/>
        <w:ind w:left="420" w:leftChars="200" w:firstLine="0" w:firstLineChars="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评价分数低于80分，则扣除合同总额的15%;</w:t>
      </w:r>
    </w:p>
    <w:p w14:paraId="50A8B517">
      <w:pPr>
        <w:numPr>
          <w:ilvl w:val="0"/>
          <w:numId w:val="0"/>
        </w:numPr>
        <w:spacing w:line="360" w:lineRule="auto"/>
        <w:ind w:left="420" w:leftChars="200" w:firstLine="0" w:firstLineChars="0"/>
        <w:rPr>
          <w:rFonts w:hint="eastAsia" w:ascii="宋体" w:hAnsi="宋体"/>
          <w:color w:val="auto"/>
          <w:spacing w:val="6"/>
          <w:szCs w:val="21"/>
          <w:highlight w:val="none"/>
          <w:lang w:val="en-US" w:eastAsia="zh-CN"/>
        </w:rPr>
      </w:pPr>
      <w:r>
        <w:rPr>
          <w:rFonts w:hint="eastAsia" w:ascii="宋体" w:hAnsi="宋体"/>
          <w:color w:val="auto"/>
          <w:spacing w:val="6"/>
          <w:szCs w:val="21"/>
          <w:highlight w:val="none"/>
          <w:lang w:val="en-US" w:eastAsia="zh-CN"/>
        </w:rPr>
        <w:t>评价分数低于75分，则扣除合同总额的20%；</w:t>
      </w:r>
    </w:p>
    <w:p w14:paraId="38F3CEE6">
      <w:pPr>
        <w:numPr>
          <w:ilvl w:val="0"/>
          <w:numId w:val="0"/>
        </w:numPr>
        <w:spacing w:line="360" w:lineRule="auto"/>
        <w:ind w:left="420" w:leftChars="200" w:firstLine="0" w:firstLineChars="0"/>
        <w:rPr>
          <w:rFonts w:hint="eastAsia" w:ascii="宋体" w:hAnsi="宋体"/>
          <w:color w:val="auto"/>
          <w:spacing w:val="6"/>
          <w:szCs w:val="21"/>
          <w:highlight w:val="none"/>
        </w:rPr>
      </w:pPr>
      <w:r>
        <w:rPr>
          <w:rFonts w:hint="eastAsia" w:ascii="宋体" w:hAnsi="宋体"/>
          <w:color w:val="auto"/>
          <w:spacing w:val="6"/>
          <w:szCs w:val="21"/>
          <w:highlight w:val="none"/>
          <w:lang w:val="en-US" w:eastAsia="zh-CN"/>
        </w:rPr>
        <w:t>全年履约评价扣款不超过合同总额的20%。</w:t>
      </w:r>
    </w:p>
    <w:p w14:paraId="0F76026B">
      <w:pPr>
        <w:numPr>
          <w:ilvl w:val="0"/>
          <w:numId w:val="0"/>
        </w:numPr>
        <w:spacing w:line="360" w:lineRule="auto"/>
        <w:ind w:left="420" w:leftChars="200" w:firstLine="0" w:firstLineChars="0"/>
        <w:rPr>
          <w:rFonts w:hint="eastAsia" w:ascii="宋体" w:hAnsi="宋体"/>
          <w:color w:val="auto"/>
          <w:spacing w:val="6"/>
          <w:szCs w:val="21"/>
          <w:highlight w:val="none"/>
        </w:rPr>
      </w:pPr>
      <w:r>
        <w:rPr>
          <w:rFonts w:hint="eastAsia" w:ascii="宋体" w:hAnsi="宋体" w:cs="Times New Roman"/>
          <w:color w:val="auto"/>
          <w:spacing w:val="6"/>
          <w:kern w:val="2"/>
          <w:sz w:val="21"/>
          <w:szCs w:val="21"/>
          <w:lang w:val="en-US" w:eastAsia="zh-CN" w:bidi="ar-SA"/>
        </w:rPr>
        <w:t>3</w:t>
      </w:r>
      <w:r>
        <w:rPr>
          <w:rFonts w:hint="eastAsia" w:ascii="宋体" w:hAnsi="宋体" w:eastAsia="宋体" w:cs="Times New Roman"/>
          <w:color w:val="auto"/>
          <w:spacing w:val="6"/>
          <w:kern w:val="2"/>
          <w:sz w:val="21"/>
          <w:szCs w:val="21"/>
          <w:lang w:val="en-US" w:eastAsia="zh-CN" w:bidi="ar-SA"/>
        </w:rPr>
        <w:t>、</w:t>
      </w:r>
      <w:r>
        <w:rPr>
          <w:rFonts w:hint="eastAsia" w:ascii="宋体" w:hAnsi="宋体"/>
          <w:color w:val="auto"/>
          <w:spacing w:val="6"/>
          <w:szCs w:val="21"/>
          <w:highlight w:val="none"/>
        </w:rPr>
        <w:t>评价申辩</w:t>
      </w:r>
    </w:p>
    <w:p w14:paraId="023B8905">
      <w:pPr>
        <w:numPr>
          <w:ilvl w:val="0"/>
          <w:numId w:val="0"/>
        </w:numPr>
        <w:spacing w:line="360" w:lineRule="auto"/>
        <w:ind w:firstLine="444" w:firstLineChars="200"/>
        <w:rPr>
          <w:rFonts w:hint="eastAsia" w:ascii="宋体" w:hAnsi="宋体"/>
          <w:color w:val="auto"/>
          <w:spacing w:val="6"/>
          <w:szCs w:val="21"/>
          <w:highlight w:val="none"/>
          <w:lang w:val="en-US" w:eastAsia="zh-CN"/>
        </w:rPr>
      </w:pPr>
      <w:r>
        <w:rPr>
          <w:rFonts w:hint="eastAsia" w:ascii="宋体" w:hAnsi="宋体"/>
          <w:color w:val="auto"/>
          <w:spacing w:val="6"/>
          <w:szCs w:val="21"/>
          <w:highlight w:val="none"/>
        </w:rPr>
        <w:t>如果</w:t>
      </w:r>
      <w:r>
        <w:rPr>
          <w:rFonts w:hint="eastAsia" w:ascii="宋体" w:hAnsi="宋体"/>
          <w:color w:val="auto"/>
          <w:spacing w:val="6"/>
          <w:szCs w:val="21"/>
          <w:highlight w:val="none"/>
          <w:lang w:eastAsia="zh-CN"/>
        </w:rPr>
        <w:t>中标人</w:t>
      </w:r>
      <w:r>
        <w:rPr>
          <w:rFonts w:hint="eastAsia" w:ascii="宋体" w:hAnsi="宋体"/>
          <w:color w:val="auto"/>
          <w:spacing w:val="6"/>
          <w:szCs w:val="21"/>
          <w:highlight w:val="none"/>
        </w:rPr>
        <w:t>不认可服务评价结果，可以在结果公布后3个工作日内向</w:t>
      </w:r>
      <w:r>
        <w:rPr>
          <w:rFonts w:hint="eastAsia" w:ascii="宋体" w:hAnsi="宋体"/>
          <w:color w:val="auto"/>
          <w:spacing w:val="6"/>
          <w:szCs w:val="21"/>
          <w:highlight w:val="none"/>
          <w:lang w:eastAsia="zh-CN"/>
        </w:rPr>
        <w:t>招标人</w:t>
      </w:r>
      <w:r>
        <w:rPr>
          <w:rFonts w:hint="eastAsia" w:ascii="宋体" w:hAnsi="宋体"/>
          <w:color w:val="auto"/>
          <w:spacing w:val="6"/>
          <w:szCs w:val="21"/>
          <w:highlight w:val="none"/>
        </w:rPr>
        <w:t>提出申辩，最终的评价结果以双方协商后的结论为准。</w:t>
      </w:r>
    </w:p>
    <w:p w14:paraId="4A651D8E">
      <w:pPr>
        <w:pStyle w:val="5"/>
        <w:rPr>
          <w:rFonts w:asciiTheme="minorEastAsia" w:hAnsiTheme="minorEastAsia" w:eastAsiaTheme="minorEastAsia"/>
          <w:b w:val="0"/>
          <w:color w:val="auto"/>
          <w:highlight w:val="none"/>
        </w:rPr>
      </w:pPr>
      <w:bookmarkStart w:id="118" w:name="_Toc9148"/>
      <w:bookmarkEnd w:id="118"/>
      <w:bookmarkStart w:id="119" w:name="_Toc15161"/>
      <w:bookmarkEnd w:id="119"/>
      <w:bookmarkStart w:id="120" w:name="_Toc643"/>
      <w:bookmarkEnd w:id="120"/>
      <w:bookmarkStart w:id="121" w:name="_Toc32036"/>
      <w:bookmarkEnd w:id="121"/>
      <w:bookmarkStart w:id="122" w:name="_Toc29029"/>
      <w:bookmarkEnd w:id="122"/>
      <w:bookmarkStart w:id="123" w:name="_Toc403142648"/>
      <w:bookmarkStart w:id="124" w:name="_Toc1909"/>
      <w:bookmarkStart w:id="125" w:name="_Toc453753082"/>
      <w:r>
        <w:rPr>
          <w:rFonts w:hint="eastAsia" w:asciiTheme="minorEastAsia" w:hAnsiTheme="minorEastAsia" w:eastAsiaTheme="minorEastAsia"/>
          <w:color w:val="auto"/>
          <w:highlight w:val="none"/>
        </w:rPr>
        <w:t>违约责任</w:t>
      </w:r>
      <w:bookmarkEnd w:id="123"/>
      <w:bookmarkEnd w:id="124"/>
      <w:bookmarkEnd w:id="125"/>
    </w:p>
    <w:p w14:paraId="41A648DD">
      <w:pPr>
        <w:pStyle w:val="6"/>
        <w:rPr>
          <w:rFonts w:hint="eastAsia"/>
          <w:color w:val="auto"/>
          <w:highlight w:val="none"/>
        </w:rPr>
      </w:pPr>
      <w:bookmarkStart w:id="126" w:name="_Toc30429"/>
      <w:bookmarkStart w:id="127" w:name="_Toc453753083"/>
      <w:bookmarkStart w:id="128" w:name="_Toc433291808"/>
      <w:r>
        <w:rPr>
          <w:rFonts w:hint="eastAsia"/>
          <w:color w:val="auto"/>
          <w:highlight w:val="none"/>
          <w:lang w:eastAsia="zh-CN"/>
        </w:rPr>
        <w:t>如发生违规或不符合要求的情况</w:t>
      </w:r>
      <w:bookmarkEnd w:id="126"/>
    </w:p>
    <w:p w14:paraId="39D39779">
      <w:pPr>
        <w:widowControl/>
        <w:shd w:val="clear" w:color="auto" w:fill="FFFFFF"/>
        <w:wordWrap w:val="0"/>
        <w:spacing w:line="360" w:lineRule="auto"/>
        <w:ind w:firstLine="420" w:firstLineChars="200"/>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1.在网络安全运行、自主可控、等保测评、商密评估、网络安全“三同步”管控等方面，供应商如发生违规或不符合要求的情况，将按以下标准承担违约责任：</w:t>
      </w:r>
    </w:p>
    <w:p w14:paraId="5670BB79">
      <w:pPr>
        <w:widowControl/>
        <w:shd w:val="clear" w:color="auto" w:fill="FFFFFF"/>
        <w:wordWrap w:val="0"/>
        <w:spacing w:line="360" w:lineRule="auto"/>
        <w:ind w:firstLine="420" w:firstLineChars="200"/>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每发生一次被国家监管单位发现或通报的，扣除人民币50000元；</w:t>
      </w:r>
    </w:p>
    <w:p w14:paraId="38E9FA1C">
      <w:pPr>
        <w:widowControl/>
        <w:shd w:val="clear" w:color="auto" w:fill="FFFFFF"/>
        <w:wordWrap w:val="0"/>
        <w:spacing w:line="360" w:lineRule="auto"/>
        <w:ind w:firstLine="420" w:firstLineChars="200"/>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每发生一次被网省公司发现或通报的，扣除人民币20000元；</w:t>
      </w:r>
    </w:p>
    <w:p w14:paraId="24B2ABFD">
      <w:pPr>
        <w:widowControl/>
        <w:shd w:val="clear" w:color="auto" w:fill="FFFFFF"/>
        <w:wordWrap w:val="0"/>
        <w:spacing w:line="360" w:lineRule="auto"/>
        <w:ind w:firstLine="420" w:firstLineChars="200"/>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每发生一次被广州局发现或通报的，扣除人民币10000元。</w:t>
      </w:r>
    </w:p>
    <w:p w14:paraId="45BF5045">
      <w:pPr>
        <w:widowControl/>
        <w:shd w:val="clear" w:color="auto" w:fill="FFFFFF"/>
        <w:wordWrap w:val="0"/>
        <w:spacing w:line="360" w:lineRule="auto"/>
        <w:ind w:firstLine="420" w:firstLineChars="200"/>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2.当招标人发现设备出现故障时，应及时通知中标人（以下简称“报障”）。自招标人发出报障之日起，中标人应在30个自然日内完成设备的维修工作，并确保设备恢复正常运行。若中标人未能按时完成维修，或者维修后设备问题仍未有效解决，招标人有权进行现场检查并形成书面确认意见。具体确认方式包括但不限于：a)由双方共同派出的专业人员进行评估；b)其他经双方协商一致的方式 。经招标人确认，中标人未能在规定期限内完成维修或解决设备故障问题的，每发生一次此类情况，扣除人民币2000元。</w:t>
      </w:r>
    </w:p>
    <w:p w14:paraId="454FF33E">
      <w:pPr>
        <w:pStyle w:val="2"/>
        <w:keepNext w:val="0"/>
        <w:keepLines w:val="0"/>
        <w:pageBreakBefore w:val="0"/>
        <w:widowControl w:val="0"/>
        <w:kinsoku/>
        <w:wordWrap/>
        <w:overflowPunct/>
        <w:topLinePunct w:val="0"/>
        <w:autoSpaceDE/>
        <w:autoSpaceDN/>
        <w:bidi w:val="0"/>
        <w:adjustRightInd/>
        <w:snapToGrid/>
        <w:spacing w:line="360" w:lineRule="auto"/>
        <w:ind w:firstLine="425" w:firstLineChars="0"/>
        <w:textAlignment w:val="auto"/>
        <w:rPr>
          <w:rFonts w:hint="default" w:ascii="宋体" w:hAnsi="宋体" w:eastAsia="宋体" w:cs="宋体"/>
          <w:color w:val="auto"/>
          <w:kern w:val="0"/>
          <w:sz w:val="21"/>
          <w:szCs w:val="24"/>
          <w:highlight w:val="none"/>
          <w:lang w:val="en-US" w:eastAsia="zh-CN" w:bidi="ar-SA"/>
        </w:rPr>
      </w:pPr>
      <w:r>
        <w:rPr>
          <w:rFonts w:hint="eastAsia" w:ascii="宋体" w:hAnsi="宋体" w:eastAsia="宋体" w:cs="宋体"/>
          <w:color w:val="auto"/>
          <w:kern w:val="0"/>
          <w:sz w:val="21"/>
          <w:szCs w:val="24"/>
          <w:highlight w:val="none"/>
          <w:lang w:val="en-US" w:eastAsia="zh-CN" w:bidi="ar-SA"/>
        </w:rPr>
        <w:t>3.在设备完成巡检且巡检结论为“正常”或“无异常”后，如于5个自然日内发生故障并生成有效维修工单，则判定为一次“巡检有效性未达标”。</w:t>
      </w:r>
      <w:r>
        <w:rPr>
          <w:rFonts w:hint="eastAsia" w:ascii="宋体" w:hAnsi="宋体" w:cs="宋体"/>
          <w:color w:val="auto"/>
          <w:kern w:val="0"/>
          <w:szCs w:val="24"/>
          <w:highlight w:val="none"/>
          <w:lang w:val="en-US" w:eastAsia="zh-CN"/>
        </w:rPr>
        <w:t>每发生一次此类情况，扣除人民币500元</w:t>
      </w:r>
      <w:r>
        <w:rPr>
          <w:rFonts w:hint="eastAsia" w:ascii="宋体" w:hAnsi="宋体" w:eastAsia="宋体" w:cs="宋体"/>
          <w:color w:val="auto"/>
          <w:kern w:val="0"/>
          <w:sz w:val="21"/>
          <w:szCs w:val="24"/>
          <w:highlight w:val="none"/>
          <w:lang w:val="en-US" w:eastAsia="zh-CN" w:bidi="ar-SA"/>
        </w:rPr>
        <w:t>。该款项经</w:t>
      </w:r>
      <w:r>
        <w:rPr>
          <w:rFonts w:hint="eastAsia" w:ascii="宋体" w:hAnsi="宋体" w:cs="宋体"/>
          <w:color w:val="auto"/>
          <w:kern w:val="0"/>
          <w:sz w:val="21"/>
          <w:szCs w:val="24"/>
          <w:highlight w:val="none"/>
          <w:lang w:val="en-US" w:eastAsia="zh-CN" w:bidi="ar-SA"/>
        </w:rPr>
        <w:t>招标人</w:t>
      </w:r>
      <w:r>
        <w:rPr>
          <w:rFonts w:hint="eastAsia" w:ascii="宋体" w:hAnsi="宋体" w:eastAsia="宋体" w:cs="宋体"/>
          <w:color w:val="auto"/>
          <w:kern w:val="0"/>
          <w:sz w:val="21"/>
          <w:szCs w:val="24"/>
          <w:highlight w:val="none"/>
          <w:lang w:val="en-US" w:eastAsia="zh-CN" w:bidi="ar-SA"/>
        </w:rPr>
        <w:t>书面通知确认后，可直接从当期应付服务费中</w:t>
      </w:r>
      <w:r>
        <w:rPr>
          <w:rFonts w:hint="eastAsia" w:ascii="宋体" w:hAnsi="宋体" w:cs="宋体"/>
          <w:color w:val="auto"/>
          <w:kern w:val="0"/>
          <w:sz w:val="21"/>
          <w:szCs w:val="24"/>
          <w:highlight w:val="none"/>
          <w:lang w:val="en-US" w:eastAsia="zh-CN" w:bidi="ar-SA"/>
        </w:rPr>
        <w:t>扣除</w:t>
      </w:r>
      <w:r>
        <w:rPr>
          <w:rFonts w:hint="eastAsia" w:ascii="宋体" w:hAnsi="宋体" w:eastAsia="宋体" w:cs="宋体"/>
          <w:color w:val="auto"/>
          <w:kern w:val="0"/>
          <w:sz w:val="21"/>
          <w:szCs w:val="24"/>
          <w:highlight w:val="none"/>
          <w:lang w:val="en-US" w:eastAsia="zh-CN" w:bidi="ar-SA"/>
        </w:rPr>
        <w:t>。因不可抗力、</w:t>
      </w:r>
      <w:r>
        <w:rPr>
          <w:rFonts w:hint="eastAsia" w:ascii="宋体" w:hAnsi="宋体" w:cs="宋体"/>
          <w:color w:val="auto"/>
          <w:kern w:val="0"/>
          <w:sz w:val="21"/>
          <w:szCs w:val="24"/>
          <w:highlight w:val="none"/>
          <w:lang w:val="en-US" w:eastAsia="zh-CN" w:bidi="ar-SA"/>
        </w:rPr>
        <w:t>中标方</w:t>
      </w:r>
      <w:r>
        <w:rPr>
          <w:rFonts w:hint="eastAsia" w:ascii="宋体" w:hAnsi="宋体" w:eastAsia="宋体" w:cs="宋体"/>
          <w:color w:val="auto"/>
          <w:kern w:val="0"/>
          <w:sz w:val="21"/>
          <w:szCs w:val="24"/>
          <w:highlight w:val="none"/>
          <w:lang w:val="en-US" w:eastAsia="zh-CN" w:bidi="ar-SA"/>
        </w:rPr>
        <w:t>或第三方人为原因直接导致的故障除外。</w:t>
      </w:r>
    </w:p>
    <w:p w14:paraId="695D2DEE">
      <w:pPr>
        <w:widowControl/>
        <w:shd w:val="clear" w:color="auto" w:fill="FFFFFF"/>
        <w:wordWrap w:val="0"/>
        <w:spacing w:line="360" w:lineRule="auto"/>
        <w:ind w:firstLine="420" w:firstLineChars="200"/>
        <w:rPr>
          <w:rFonts w:hint="eastAsia"/>
          <w:lang w:val="en-US" w:eastAsia="zh-CN"/>
        </w:rPr>
      </w:pPr>
      <w:r>
        <w:rPr>
          <w:rFonts w:hint="eastAsia" w:ascii="宋体" w:hAnsi="宋体" w:cs="宋体"/>
          <w:color w:val="auto"/>
          <w:kern w:val="0"/>
          <w:szCs w:val="24"/>
          <w:highlight w:val="none"/>
          <w:lang w:val="en-US" w:eastAsia="zh-CN"/>
        </w:rPr>
        <w:t>上述扣款自合同款项中直接扣除，且不排除招标人根据相关法律法规及合同约定追究其他违约责任。多次违规可累计扣罚，具体以招标人或相关单位正式书面通报为依据。</w:t>
      </w:r>
    </w:p>
    <w:p w14:paraId="169DB911">
      <w:pPr>
        <w:pStyle w:val="6"/>
        <w:rPr>
          <w:color w:val="auto"/>
          <w:highlight w:val="none"/>
        </w:rPr>
      </w:pPr>
      <w:bookmarkStart w:id="129" w:name="_Toc17339"/>
      <w:r>
        <w:rPr>
          <w:rFonts w:hint="eastAsia"/>
          <w:color w:val="auto"/>
          <w:highlight w:val="none"/>
        </w:rPr>
        <w:t>合同终止条款</w:t>
      </w:r>
      <w:bookmarkEnd w:id="127"/>
      <w:bookmarkEnd w:id="128"/>
      <w:bookmarkEnd w:id="129"/>
    </w:p>
    <w:p w14:paraId="5B64B249">
      <w:pPr>
        <w:widowControl/>
        <w:shd w:val="clear" w:color="auto" w:fill="FFFFFF"/>
        <w:wordWrap w:val="0"/>
        <w:spacing w:line="360" w:lineRule="auto"/>
        <w:ind w:firstLine="420" w:firstLineChars="200"/>
        <w:rPr>
          <w:rFonts w:ascii="宋体" w:hAnsi="宋体" w:cs="宋体"/>
          <w:color w:val="auto"/>
          <w:kern w:val="0"/>
          <w:szCs w:val="24"/>
          <w:highlight w:val="none"/>
        </w:rPr>
      </w:pPr>
      <w:r>
        <w:rPr>
          <w:rFonts w:hint="eastAsia" w:ascii="宋体" w:hAnsi="宋体" w:cs="宋体"/>
          <w:color w:val="auto"/>
          <w:kern w:val="0"/>
          <w:szCs w:val="24"/>
          <w:highlight w:val="none"/>
        </w:rPr>
        <w:t>若出现以下情况之一的，招标人有权终止合同并追究相关法律责任。</w:t>
      </w:r>
    </w:p>
    <w:p w14:paraId="036D9087">
      <w:pPr>
        <w:widowControl/>
        <w:shd w:val="clear" w:color="auto" w:fill="FFFFFF"/>
        <w:wordWrap w:val="0"/>
        <w:spacing w:line="360" w:lineRule="auto"/>
        <w:ind w:firstLine="420" w:firstLineChars="200"/>
        <w:rPr>
          <w:rFonts w:ascii="宋体" w:hAnsi="宋体" w:cs="宋体"/>
          <w:color w:val="auto"/>
          <w:kern w:val="0"/>
          <w:szCs w:val="24"/>
          <w:highlight w:val="none"/>
        </w:rPr>
      </w:pPr>
      <w:r>
        <w:rPr>
          <w:rFonts w:hint="eastAsia" w:ascii="宋体" w:hAnsi="宋体" w:cs="宋体"/>
          <w:color w:val="auto"/>
          <w:kern w:val="0"/>
          <w:szCs w:val="24"/>
          <w:highlight w:val="none"/>
        </w:rPr>
        <w:t>1、合同履约期间内，累计出现一次一级安全事件。</w:t>
      </w:r>
    </w:p>
    <w:p w14:paraId="54D6BD66">
      <w:pPr>
        <w:widowControl/>
        <w:shd w:val="clear" w:color="auto" w:fill="FFFFFF"/>
        <w:wordWrap w:val="0"/>
        <w:spacing w:line="360" w:lineRule="auto"/>
        <w:ind w:firstLine="420" w:firstLineChars="200"/>
        <w:rPr>
          <w:rFonts w:ascii="宋体" w:hAnsi="宋体" w:cs="宋体"/>
          <w:color w:val="auto"/>
          <w:kern w:val="0"/>
          <w:szCs w:val="24"/>
          <w:highlight w:val="none"/>
        </w:rPr>
      </w:pPr>
      <w:r>
        <w:rPr>
          <w:rFonts w:hint="eastAsia" w:ascii="宋体" w:hAnsi="宋体" w:cs="宋体"/>
          <w:color w:val="auto"/>
          <w:kern w:val="0"/>
          <w:szCs w:val="24"/>
          <w:highlight w:val="none"/>
        </w:rPr>
        <w:t>2、合同履约期间内，累计出现两次二级安全事件。</w:t>
      </w:r>
    </w:p>
    <w:p w14:paraId="5B693926">
      <w:pPr>
        <w:widowControl/>
        <w:shd w:val="clear" w:color="auto" w:fill="FFFFFF"/>
        <w:wordWrap w:val="0"/>
        <w:spacing w:line="360" w:lineRule="auto"/>
        <w:ind w:firstLine="420" w:firstLineChars="200"/>
        <w:rPr>
          <w:rFonts w:ascii="宋体" w:hAnsi="宋体" w:cs="宋体"/>
          <w:color w:val="auto"/>
          <w:kern w:val="0"/>
          <w:szCs w:val="24"/>
          <w:highlight w:val="none"/>
        </w:rPr>
      </w:pPr>
      <w:r>
        <w:rPr>
          <w:rFonts w:hint="eastAsia" w:ascii="宋体" w:hAnsi="宋体" w:cs="宋体"/>
          <w:color w:val="auto"/>
          <w:kern w:val="0"/>
          <w:szCs w:val="24"/>
          <w:highlight w:val="none"/>
        </w:rPr>
        <w:t>3、合同履约期间内，累计出现三次三级安全事件。</w:t>
      </w:r>
    </w:p>
    <w:p w14:paraId="42358EA4">
      <w:pPr>
        <w:widowControl/>
        <w:shd w:val="clear" w:color="auto" w:fill="FFFFFF"/>
        <w:wordWrap w:val="0"/>
        <w:spacing w:line="360" w:lineRule="auto"/>
        <w:ind w:firstLine="420" w:firstLineChars="200"/>
        <w:rPr>
          <w:rFonts w:ascii="宋体" w:hAnsi="宋体" w:cs="宋体"/>
          <w:color w:val="auto"/>
          <w:kern w:val="0"/>
          <w:szCs w:val="24"/>
          <w:highlight w:val="none"/>
        </w:rPr>
      </w:pPr>
      <w:r>
        <w:rPr>
          <w:rFonts w:hint="eastAsia" w:ascii="宋体" w:hAnsi="宋体" w:cs="宋体"/>
          <w:color w:val="auto"/>
          <w:kern w:val="0"/>
          <w:szCs w:val="24"/>
          <w:highlight w:val="none"/>
        </w:rPr>
        <w:t>4、招标人有权对</w:t>
      </w:r>
      <w:r>
        <w:rPr>
          <w:rFonts w:hint="eastAsia" w:ascii="宋体" w:hAnsi="宋体" w:cs="宋体"/>
          <w:color w:val="auto"/>
          <w:kern w:val="0"/>
          <w:szCs w:val="24"/>
          <w:highlight w:val="none"/>
          <w:lang w:eastAsia="zh-CN"/>
        </w:rPr>
        <w:t>中标人</w:t>
      </w:r>
      <w:r>
        <w:rPr>
          <w:rFonts w:hint="eastAsia" w:ascii="宋体" w:hAnsi="宋体" w:cs="宋体"/>
          <w:color w:val="auto"/>
          <w:kern w:val="0"/>
          <w:szCs w:val="24"/>
          <w:highlight w:val="none"/>
        </w:rPr>
        <w:t>项目参与人员进行面试或者考试（面试或者考试范围为项目工作内容），发现驻场人员资质或工作经验造假情况。</w:t>
      </w:r>
    </w:p>
    <w:p w14:paraId="58AB7F5F">
      <w:pPr>
        <w:widowControl/>
        <w:shd w:val="clear" w:color="auto" w:fill="FFFFFF"/>
        <w:wordWrap w:val="0"/>
        <w:spacing w:line="360" w:lineRule="auto"/>
        <w:ind w:firstLine="420" w:firstLineChars="200"/>
        <w:rPr>
          <w:rFonts w:ascii="宋体" w:hAnsi="宋体" w:cs="宋体"/>
          <w:color w:val="auto"/>
          <w:kern w:val="0"/>
          <w:szCs w:val="24"/>
          <w:highlight w:val="none"/>
        </w:rPr>
      </w:pPr>
      <w:r>
        <w:rPr>
          <w:rFonts w:hint="eastAsia" w:ascii="宋体" w:hAnsi="宋体" w:cs="宋体"/>
          <w:color w:val="auto"/>
          <w:kern w:val="0"/>
          <w:szCs w:val="24"/>
          <w:highlight w:val="none"/>
        </w:rPr>
        <w:t>5、</w:t>
      </w:r>
      <w:r>
        <w:rPr>
          <w:rFonts w:hint="eastAsia" w:ascii="宋体" w:hAnsi="宋体" w:cs="宋体"/>
          <w:color w:val="auto"/>
          <w:kern w:val="0"/>
          <w:szCs w:val="24"/>
          <w:highlight w:val="none"/>
          <w:lang w:eastAsia="zh-CN"/>
        </w:rPr>
        <w:t>中标人</w:t>
      </w:r>
      <w:r>
        <w:rPr>
          <w:rFonts w:hint="eastAsia" w:ascii="宋体" w:hAnsi="宋体" w:cs="宋体"/>
          <w:color w:val="auto"/>
          <w:kern w:val="0"/>
          <w:szCs w:val="24"/>
          <w:highlight w:val="none"/>
        </w:rPr>
        <w:t>项目参与人员未经招标人书面同意而参加其他项目工作，或未经招标人书面同意更换项目参与人员数量超过总数比例20%。</w:t>
      </w:r>
    </w:p>
    <w:p w14:paraId="1EE93869">
      <w:pPr>
        <w:widowControl/>
        <w:shd w:val="clear" w:color="auto" w:fill="FFFFFF"/>
        <w:wordWrap w:val="0"/>
        <w:spacing w:line="360" w:lineRule="auto"/>
        <w:ind w:firstLine="420" w:firstLineChars="200"/>
        <w:rPr>
          <w:rFonts w:ascii="宋体" w:hAnsi="宋体" w:cs="宋体"/>
          <w:color w:val="auto"/>
          <w:kern w:val="0"/>
          <w:szCs w:val="24"/>
          <w:highlight w:val="none"/>
        </w:rPr>
      </w:pPr>
      <w:r>
        <w:rPr>
          <w:rFonts w:hint="eastAsia" w:ascii="宋体" w:hAnsi="宋体" w:cs="宋体"/>
          <w:color w:val="auto"/>
          <w:kern w:val="0"/>
          <w:szCs w:val="24"/>
          <w:highlight w:val="none"/>
        </w:rPr>
        <w:t>6、经招标人发出部门整改通知书3次或以上，或广州局整改通知书2次或以上。</w:t>
      </w:r>
    </w:p>
    <w:p w14:paraId="0F819F86">
      <w:pPr>
        <w:pStyle w:val="6"/>
        <w:rPr>
          <w:color w:val="auto"/>
          <w:highlight w:val="none"/>
        </w:rPr>
      </w:pPr>
      <w:bookmarkStart w:id="130" w:name="_Toc12821"/>
      <w:bookmarkStart w:id="131" w:name="_Toc453753084"/>
      <w:bookmarkStart w:id="132" w:name="_Toc433291809"/>
      <w:r>
        <w:rPr>
          <w:rFonts w:hint="eastAsia"/>
          <w:color w:val="auto"/>
          <w:highlight w:val="none"/>
        </w:rPr>
        <w:t>评分扣款说明</w:t>
      </w:r>
      <w:bookmarkEnd w:id="130"/>
      <w:bookmarkEnd w:id="131"/>
      <w:bookmarkEnd w:id="132"/>
    </w:p>
    <w:p w14:paraId="21F96DFC">
      <w:pPr>
        <w:widowControl/>
        <w:shd w:val="clear" w:color="auto" w:fill="FFFFFF"/>
        <w:wordWrap w:val="0"/>
        <w:spacing w:line="360" w:lineRule="auto"/>
        <w:ind w:firstLine="482"/>
        <w:rPr>
          <w:rFonts w:ascii="宋体" w:hAnsi="宋体" w:cs="宋体"/>
          <w:color w:val="auto"/>
          <w:kern w:val="0"/>
          <w:szCs w:val="24"/>
          <w:highlight w:val="none"/>
        </w:rPr>
      </w:pPr>
      <w:r>
        <w:rPr>
          <w:rFonts w:hint="eastAsia" w:ascii="宋体" w:hAnsi="宋体" w:cs="宋体"/>
          <w:color w:val="auto"/>
          <w:kern w:val="0"/>
          <w:szCs w:val="24"/>
          <w:highlight w:val="none"/>
        </w:rPr>
        <w:t>在合同服务期结束前，招标人按照本协议对</w:t>
      </w:r>
      <w:r>
        <w:rPr>
          <w:rFonts w:hint="eastAsia" w:ascii="宋体" w:hAnsi="宋体" w:cs="宋体"/>
          <w:color w:val="auto"/>
          <w:kern w:val="0"/>
          <w:szCs w:val="24"/>
          <w:highlight w:val="none"/>
          <w:lang w:eastAsia="zh-CN"/>
        </w:rPr>
        <w:t>中标人</w:t>
      </w:r>
      <w:r>
        <w:rPr>
          <w:rFonts w:hint="eastAsia" w:ascii="宋体" w:hAnsi="宋体" w:cs="宋体"/>
          <w:color w:val="auto"/>
          <w:kern w:val="0"/>
          <w:szCs w:val="24"/>
          <w:highlight w:val="none"/>
        </w:rPr>
        <w:t>的服务进行服务评价。如果评价结果低于</w:t>
      </w:r>
      <w:r>
        <w:rPr>
          <w:rFonts w:hint="eastAsia" w:ascii="宋体" w:hAnsi="宋体" w:cs="宋体"/>
          <w:color w:val="auto"/>
          <w:kern w:val="0"/>
          <w:szCs w:val="24"/>
          <w:highlight w:val="none"/>
          <w:lang w:val="en-US" w:eastAsia="zh-CN"/>
        </w:rPr>
        <w:t>90</w:t>
      </w:r>
      <w:r>
        <w:rPr>
          <w:rFonts w:hint="eastAsia" w:ascii="宋体" w:hAnsi="宋体" w:cs="宋体"/>
          <w:color w:val="auto"/>
          <w:kern w:val="0"/>
          <w:szCs w:val="24"/>
          <w:highlight w:val="none"/>
        </w:rPr>
        <w:t>分，将视为</w:t>
      </w:r>
      <w:r>
        <w:rPr>
          <w:rFonts w:hint="eastAsia" w:ascii="宋体" w:hAnsi="宋体" w:cs="宋体"/>
          <w:color w:val="auto"/>
          <w:kern w:val="0"/>
          <w:szCs w:val="24"/>
          <w:highlight w:val="none"/>
          <w:lang w:eastAsia="zh-CN"/>
        </w:rPr>
        <w:t>中标人</w:t>
      </w:r>
      <w:r>
        <w:rPr>
          <w:rFonts w:hint="eastAsia" w:ascii="宋体" w:hAnsi="宋体" w:cs="宋体"/>
          <w:color w:val="auto"/>
          <w:kern w:val="0"/>
          <w:szCs w:val="24"/>
          <w:highlight w:val="none"/>
        </w:rPr>
        <w:t>违约，招标人向</w:t>
      </w:r>
      <w:r>
        <w:rPr>
          <w:rFonts w:hint="eastAsia" w:ascii="宋体" w:hAnsi="宋体" w:cs="宋体"/>
          <w:color w:val="auto"/>
          <w:kern w:val="0"/>
          <w:szCs w:val="24"/>
          <w:highlight w:val="none"/>
          <w:lang w:eastAsia="zh-CN"/>
        </w:rPr>
        <w:t>中标人</w:t>
      </w:r>
      <w:r>
        <w:rPr>
          <w:rFonts w:hint="eastAsia" w:ascii="宋体" w:hAnsi="宋体" w:cs="宋体"/>
          <w:color w:val="auto"/>
          <w:kern w:val="0"/>
          <w:szCs w:val="24"/>
          <w:highlight w:val="none"/>
        </w:rPr>
        <w:t>支付最后一期合同款项时，扣减一定比例后支付。</w:t>
      </w:r>
    </w:p>
    <w:p w14:paraId="6641D880">
      <w:pPr>
        <w:widowControl/>
        <w:shd w:val="clear" w:color="auto" w:fill="FFFFFF"/>
        <w:wordWrap w:val="0"/>
        <w:spacing w:line="360" w:lineRule="auto"/>
        <w:ind w:firstLine="482"/>
        <w:rPr>
          <w:rFonts w:ascii="宋体" w:hAnsi="宋体" w:cs="宋体"/>
          <w:color w:val="auto"/>
          <w:kern w:val="0"/>
          <w:szCs w:val="24"/>
          <w:highlight w:val="none"/>
        </w:rPr>
      </w:pPr>
      <w:r>
        <w:rPr>
          <w:rFonts w:hint="eastAsia" w:ascii="宋体" w:hAnsi="宋体" w:cs="宋体"/>
          <w:color w:val="auto"/>
          <w:kern w:val="0"/>
          <w:szCs w:val="24"/>
          <w:highlight w:val="none"/>
        </w:rPr>
        <w:t>在本合同在执行过程中，如存在不确定因素导致</w:t>
      </w:r>
      <w:r>
        <w:rPr>
          <w:rFonts w:hint="eastAsia" w:ascii="宋体" w:hAnsi="宋体" w:cs="宋体"/>
          <w:color w:val="auto"/>
          <w:kern w:val="0"/>
          <w:szCs w:val="24"/>
          <w:highlight w:val="none"/>
          <w:lang w:eastAsia="zh-CN"/>
        </w:rPr>
        <w:t>中标人</w:t>
      </w:r>
      <w:r>
        <w:rPr>
          <w:rFonts w:hint="eastAsia" w:ascii="宋体" w:hAnsi="宋体" w:cs="宋体"/>
          <w:color w:val="auto"/>
          <w:kern w:val="0"/>
          <w:szCs w:val="24"/>
          <w:highlight w:val="none"/>
        </w:rPr>
        <w:t>未按约定实施时长，则招标人有权根据实际工作量签订补充协议延长服务期或扣减相应合同金额。</w:t>
      </w:r>
    </w:p>
    <w:p w14:paraId="34A45C89">
      <w:pPr>
        <w:pStyle w:val="5"/>
        <w:rPr>
          <w:rFonts w:asciiTheme="minorEastAsia" w:hAnsiTheme="minorEastAsia" w:eastAsiaTheme="minorEastAsia"/>
          <w:b w:val="0"/>
          <w:color w:val="auto"/>
          <w:highlight w:val="none"/>
        </w:rPr>
      </w:pPr>
      <w:bookmarkStart w:id="133" w:name="_Toc13720"/>
      <w:bookmarkStart w:id="134" w:name="_Toc15065"/>
      <w:r>
        <w:rPr>
          <w:rFonts w:hint="eastAsia" w:asciiTheme="minorEastAsia" w:hAnsiTheme="minorEastAsia" w:eastAsiaTheme="minorEastAsia"/>
          <w:color w:val="auto"/>
          <w:highlight w:val="none"/>
        </w:rPr>
        <w:t>效力说明</w:t>
      </w:r>
      <w:bookmarkEnd w:id="133"/>
      <w:bookmarkEnd w:id="134"/>
    </w:p>
    <w:p w14:paraId="75977EB9">
      <w:pPr>
        <w:widowControl/>
        <w:shd w:val="clear" w:color="auto" w:fill="FFFFFF"/>
        <w:wordWrap w:val="0"/>
        <w:spacing w:line="360" w:lineRule="auto"/>
        <w:ind w:firstLine="482"/>
        <w:rPr>
          <w:rFonts w:hint="eastAsia" w:ascii="宋体" w:hAnsi="宋体" w:cs="宋体"/>
          <w:color w:val="auto"/>
          <w:kern w:val="0"/>
          <w:szCs w:val="24"/>
          <w:highlight w:val="none"/>
        </w:rPr>
      </w:pPr>
      <w:r>
        <w:rPr>
          <w:rFonts w:hint="eastAsia" w:ascii="宋体" w:hAnsi="宋体" w:cs="宋体"/>
          <w:color w:val="auto"/>
          <w:kern w:val="0"/>
          <w:szCs w:val="24"/>
          <w:highlight w:val="none"/>
        </w:rPr>
        <w:t>本技术规范书作为招标</w:t>
      </w:r>
      <w:r>
        <w:rPr>
          <w:rFonts w:hint="eastAsia" w:ascii="宋体" w:hAnsi="宋体" w:cs="宋体"/>
          <w:color w:val="auto"/>
          <w:kern w:val="0"/>
          <w:szCs w:val="24"/>
          <w:highlight w:val="none"/>
          <w:lang w:val="en-US" w:eastAsia="zh-CN"/>
        </w:rPr>
        <w:t>方</w:t>
      </w:r>
      <w:r>
        <w:rPr>
          <w:rFonts w:hint="eastAsia" w:ascii="宋体" w:hAnsi="宋体" w:cs="宋体"/>
          <w:color w:val="auto"/>
          <w:kern w:val="0"/>
          <w:szCs w:val="24"/>
          <w:highlight w:val="none"/>
        </w:rPr>
        <w:t>案的附件，与招标</w:t>
      </w:r>
      <w:r>
        <w:rPr>
          <w:rFonts w:hint="eastAsia" w:ascii="宋体" w:hAnsi="宋体" w:cs="宋体"/>
          <w:color w:val="auto"/>
          <w:kern w:val="0"/>
          <w:szCs w:val="24"/>
          <w:highlight w:val="none"/>
          <w:lang w:val="en-US" w:eastAsia="zh-CN"/>
        </w:rPr>
        <w:t>方</w:t>
      </w:r>
      <w:r>
        <w:rPr>
          <w:rFonts w:hint="eastAsia" w:ascii="宋体" w:hAnsi="宋体" w:cs="宋体"/>
          <w:color w:val="auto"/>
          <w:kern w:val="0"/>
          <w:szCs w:val="24"/>
          <w:highlight w:val="none"/>
        </w:rPr>
        <w:t>案具有同等法律效力。</w:t>
      </w:r>
    </w:p>
    <w:p w14:paraId="75E42552">
      <w:pPr>
        <w:widowControl/>
        <w:shd w:val="clear" w:color="auto" w:fill="FFFFFF"/>
        <w:wordWrap w:val="0"/>
        <w:spacing w:line="360" w:lineRule="auto"/>
        <w:ind w:firstLine="482"/>
        <w:rPr>
          <w:rFonts w:ascii="宋体" w:hAnsi="宋体" w:cs="宋体"/>
          <w:color w:val="auto"/>
          <w:kern w:val="0"/>
          <w:szCs w:val="24"/>
          <w:highlight w:val="none"/>
        </w:rPr>
      </w:pPr>
      <w:r>
        <w:rPr>
          <w:rFonts w:hint="eastAsia" w:ascii="宋体" w:hAnsi="宋体" w:cs="宋体"/>
          <w:color w:val="auto"/>
          <w:kern w:val="0"/>
          <w:szCs w:val="24"/>
          <w:highlight w:val="none"/>
        </w:rPr>
        <w:t>（以下无正文）</w:t>
      </w:r>
    </w:p>
    <w:sectPr>
      <w:footerReference r:id="rId5" w:type="first"/>
      <w:headerReference r:id="rId3" w:type="default"/>
      <w:footerReference r:id="rId4" w:type="default"/>
      <w:pgSz w:w="11906" w:h="16838"/>
      <w:pgMar w:top="1440" w:right="849" w:bottom="1440"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Wingdings 2">
    <w:altName w:val="Wingdings"/>
    <w:panose1 w:val="05020102010507070707"/>
    <w:charset w:val="02"/>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65358">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FF891E">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6FF891E">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B31F5">
    <w:pPr>
      <w:tabs>
        <w:tab w:val="center" w:pos="4320"/>
        <w:tab w:val="right" w:pos="8640"/>
      </w:tabs>
      <w:spacing w:before="120" w:after="120"/>
      <w:rPr>
        <w:szCs w:val="1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F1D4F5">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1F1D4F5">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E6234">
    <w:pPr>
      <w:pBdr>
        <w:bottom w:val="single" w:color="auto" w:sz="4" w:space="1"/>
      </w:pBdr>
      <w:jc w:val="left"/>
      <w:rPr>
        <w:rFonts w:ascii="Cambria" w:hAnsi="Cambria"/>
        <w:szCs w:val="18"/>
      </w:rPr>
    </w:pPr>
    <w:r>
      <w:rPr>
        <w:rFonts w:ascii="Cambria" w:hAnsi="Cambria"/>
        <w:sz w:val="32"/>
        <w:szCs w:val="32"/>
      </w:rPr>
      <w:ptab w:relativeTo="margin" w:alignment="center" w:leader="none"/>
    </w:r>
    <w:r>
      <w:rPr>
        <w:rFonts w:ascii="Cambria" w:hAnsi="Cambria"/>
        <w:sz w:val="32"/>
        <w:szCs w:val="32"/>
      </w:rPr>
      <w:ptab w:relativeTo="margin" w:alignment="right" w:leader="none"/>
    </w:r>
    <w:r>
      <w:rPr>
        <w:rFonts w:hint="eastAsia" w:ascii="Cambria" w:hAnsi="Cambria"/>
        <w:szCs w:val="18"/>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D1440"/>
    <w:multiLevelType w:val="singleLevel"/>
    <w:tmpl w:val="C48D1440"/>
    <w:lvl w:ilvl="0" w:tentative="0">
      <w:start w:val="1"/>
      <w:numFmt w:val="decimal"/>
      <w:suff w:val="nothing"/>
      <w:lvlText w:val="%1、"/>
      <w:lvlJc w:val="left"/>
    </w:lvl>
  </w:abstractNum>
  <w:abstractNum w:abstractNumId="1">
    <w:nsid w:val="1D0926E2"/>
    <w:multiLevelType w:val="multilevel"/>
    <w:tmpl w:val="1D0926E2"/>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372667F7"/>
    <w:multiLevelType w:val="multilevel"/>
    <w:tmpl w:val="372667F7"/>
    <w:lvl w:ilvl="0" w:tentative="0">
      <w:start w:val="1"/>
      <w:numFmt w:val="chineseCountingThousand"/>
      <w:pStyle w:val="4"/>
      <w:suff w:val="nothing"/>
      <w:lvlText w:val="第%1章"/>
      <w:lvlJc w:val="left"/>
      <w:pPr>
        <w:ind w:left="0" w:firstLine="0"/>
      </w:pPr>
      <w:rPr>
        <w:rFonts w:hint="eastAsia"/>
        <w:i w:val="0"/>
      </w:rPr>
    </w:lvl>
    <w:lvl w:ilvl="1" w:tentative="0">
      <w:start w:val="1"/>
      <w:numFmt w:val="chineseCountingThousand"/>
      <w:pStyle w:val="5"/>
      <w:suff w:val="nothing"/>
      <w:lvlText w:val="%2、"/>
      <w:lvlJc w:val="left"/>
      <w:pPr>
        <w:ind w:left="0" w:firstLine="0"/>
      </w:pPr>
      <w:rPr>
        <w:rFonts w:hint="eastAsia" w:asciiTheme="majorEastAsia" w:hAnsiTheme="majorEastAsia" w:eastAsiaTheme="majorEastAsia"/>
        <w:b/>
        <w:i w:val="0"/>
      </w:rPr>
    </w:lvl>
    <w:lvl w:ilvl="2" w:tentative="0">
      <w:start w:val="1"/>
      <w:numFmt w:val="decimal"/>
      <w:pStyle w:val="6"/>
      <w:isLgl/>
      <w:lvlText w:val="%2.%3"/>
      <w:lvlJc w:val="left"/>
      <w:pPr>
        <w:ind w:left="142" w:firstLine="0"/>
      </w:pPr>
      <w:rPr>
        <w:rFonts w:hint="eastAsia"/>
        <w:b/>
      </w:rPr>
    </w:lvl>
    <w:lvl w:ilvl="3" w:tentative="0">
      <w:start w:val="1"/>
      <w:numFmt w:val="decimal"/>
      <w:pStyle w:val="7"/>
      <w:isLgl/>
      <w:suff w:val="space"/>
      <w:lvlText w:val="%2.%3.%4"/>
      <w:lvlJc w:val="left"/>
      <w:pPr>
        <w:ind w:left="0" w:firstLine="454"/>
      </w:pPr>
      <w:rPr>
        <w:rFonts w:hint="eastAsia"/>
        <w:b/>
      </w:rPr>
    </w:lvl>
    <w:lvl w:ilvl="4" w:tentative="0">
      <w:start w:val="1"/>
      <w:numFmt w:val="decimal"/>
      <w:pStyle w:val="8"/>
      <w:isLgl/>
      <w:suff w:val="space"/>
      <w:lvlText w:val="%2.%3.%4.%5"/>
      <w:lvlJc w:val="left"/>
      <w:pPr>
        <w:ind w:left="0" w:firstLine="454"/>
      </w:pPr>
      <w:rPr>
        <w:rFonts w:hint="eastAsia"/>
      </w:rPr>
    </w:lvl>
    <w:lvl w:ilvl="5" w:tentative="0">
      <w:start w:val="1"/>
      <w:numFmt w:val="decimal"/>
      <w:pStyle w:val="9"/>
      <w:isLgl/>
      <w:suff w:val="nothing"/>
      <w:lvlText w:val="%2.%3.%4.%5.%6"/>
      <w:lvlJc w:val="left"/>
      <w:pPr>
        <w:ind w:left="0" w:firstLine="0"/>
      </w:pPr>
      <w:rPr>
        <w:rFonts w:hint="eastAsia"/>
        <w:b/>
      </w:rPr>
    </w:lvl>
    <w:lvl w:ilvl="6" w:tentative="0">
      <w:start w:val="1"/>
      <w:numFmt w:val="decimal"/>
      <w:pStyle w:val="10"/>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pStyle w:val="11"/>
      <w:suff w:val="space"/>
      <w:lvlText w:val="3.%3.%4.%5.%6.%7.%8"/>
      <w:lvlJc w:val="left"/>
      <w:pPr>
        <w:ind w:left="0" w:firstLine="0"/>
      </w:pPr>
      <w:rPr>
        <w:rFonts w:hint="eastAsia" w:ascii="宋体" w:hAnsi="宋体" w:eastAsia="宋体"/>
        <w:i w:val="0"/>
      </w:rPr>
    </w:lvl>
    <w:lvl w:ilvl="8" w:tentative="0">
      <w:start w:val="1"/>
      <w:numFmt w:val="decimal"/>
      <w:pStyle w:val="12"/>
      <w:suff w:val="nothing"/>
      <w:lvlText w:val="3.%3.%4.%5.%6.%7.%8.%9"/>
      <w:lvlJc w:val="left"/>
      <w:pPr>
        <w:ind w:left="0" w:firstLine="0"/>
      </w:pPr>
      <w:rPr>
        <w:rFonts w:hint="eastAsia"/>
      </w:rPr>
    </w:lvl>
  </w:abstractNum>
  <w:abstractNum w:abstractNumId="3">
    <w:nsid w:val="4204CDF8"/>
    <w:multiLevelType w:val="multilevel"/>
    <w:tmpl w:val="4204CDF8"/>
    <w:lvl w:ilvl="0" w:tentative="0">
      <w:start w:val="1"/>
      <w:numFmt w:val="decimal"/>
      <w:lvlText w:val="（%1）"/>
      <w:lvlJc w:val="left"/>
      <w:pPr>
        <w:ind w:left="864" w:hanging="420"/>
      </w:pPr>
      <w:rPr>
        <w:rFonts w:hint="eastAsia"/>
        <w:b w:val="0"/>
        <w:color w:val="auto"/>
      </w:rPr>
    </w:lvl>
    <w:lvl w:ilvl="1" w:tentative="0">
      <w:start w:val="1"/>
      <w:numFmt w:val="lowerLetter"/>
      <w:lvlText w:val="%2)"/>
      <w:lvlJc w:val="left"/>
      <w:pPr>
        <w:ind w:left="1284" w:hanging="420"/>
      </w:pPr>
    </w:lvl>
    <w:lvl w:ilvl="2" w:tentative="0">
      <w:start w:val="1"/>
      <w:numFmt w:val="lowerRoman"/>
      <w:lvlText w:val="%3."/>
      <w:lvlJc w:val="right"/>
      <w:pPr>
        <w:ind w:left="1704" w:hanging="420"/>
      </w:pPr>
    </w:lvl>
    <w:lvl w:ilvl="3" w:tentative="0">
      <w:start w:val="1"/>
      <w:numFmt w:val="decimal"/>
      <w:lvlText w:val="%4."/>
      <w:lvlJc w:val="left"/>
      <w:pPr>
        <w:ind w:left="2124" w:hanging="420"/>
      </w:pPr>
    </w:lvl>
    <w:lvl w:ilvl="4" w:tentative="0">
      <w:start w:val="1"/>
      <w:numFmt w:val="lowerLetter"/>
      <w:lvlText w:val="%5)"/>
      <w:lvlJc w:val="left"/>
      <w:pPr>
        <w:ind w:left="2544" w:hanging="420"/>
      </w:pPr>
    </w:lvl>
    <w:lvl w:ilvl="5" w:tentative="0">
      <w:start w:val="1"/>
      <w:numFmt w:val="lowerRoman"/>
      <w:lvlText w:val="%6."/>
      <w:lvlJc w:val="right"/>
      <w:pPr>
        <w:ind w:left="2964" w:hanging="420"/>
      </w:pPr>
    </w:lvl>
    <w:lvl w:ilvl="6" w:tentative="0">
      <w:start w:val="1"/>
      <w:numFmt w:val="decimal"/>
      <w:lvlText w:val="%7."/>
      <w:lvlJc w:val="left"/>
      <w:pPr>
        <w:ind w:left="3384" w:hanging="420"/>
      </w:pPr>
    </w:lvl>
    <w:lvl w:ilvl="7" w:tentative="0">
      <w:start w:val="1"/>
      <w:numFmt w:val="lowerLetter"/>
      <w:lvlText w:val="%8)"/>
      <w:lvlJc w:val="left"/>
      <w:pPr>
        <w:ind w:left="3804" w:hanging="420"/>
      </w:pPr>
    </w:lvl>
    <w:lvl w:ilvl="8" w:tentative="0">
      <w:start w:val="1"/>
      <w:numFmt w:val="lowerRoman"/>
      <w:lvlText w:val="%9."/>
      <w:lvlJc w:val="right"/>
      <w:pPr>
        <w:ind w:left="4224" w:hanging="420"/>
      </w:pPr>
    </w:lvl>
  </w:abstractNum>
  <w:abstractNum w:abstractNumId="4">
    <w:nsid w:val="42B904D3"/>
    <w:multiLevelType w:val="multilevel"/>
    <w:tmpl w:val="42B904D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443C67B9"/>
    <w:multiLevelType w:val="multilevel"/>
    <w:tmpl w:val="443C67B9"/>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
    <w:nsid w:val="54D77634"/>
    <w:multiLevelType w:val="multilevel"/>
    <w:tmpl w:val="54D77634"/>
    <w:lvl w:ilvl="0" w:tentative="0">
      <w:start w:val="1"/>
      <w:numFmt w:val="decimal"/>
      <w:lvlText w:val="%1、"/>
      <w:lvlJc w:val="left"/>
      <w:pPr>
        <w:ind w:left="864" w:hanging="420"/>
      </w:pPr>
      <w:rPr>
        <w:rFonts w:hint="eastAsia"/>
      </w:rPr>
    </w:lvl>
    <w:lvl w:ilvl="1" w:tentative="0">
      <w:start w:val="1"/>
      <w:numFmt w:val="lowerLetter"/>
      <w:lvlText w:val="%2)"/>
      <w:lvlJc w:val="left"/>
      <w:pPr>
        <w:ind w:left="1284" w:hanging="420"/>
      </w:pPr>
    </w:lvl>
    <w:lvl w:ilvl="2" w:tentative="0">
      <w:start w:val="1"/>
      <w:numFmt w:val="lowerRoman"/>
      <w:lvlText w:val="%3."/>
      <w:lvlJc w:val="right"/>
      <w:pPr>
        <w:ind w:left="1704" w:hanging="420"/>
      </w:pPr>
    </w:lvl>
    <w:lvl w:ilvl="3" w:tentative="0">
      <w:start w:val="1"/>
      <w:numFmt w:val="decimal"/>
      <w:lvlText w:val="%4."/>
      <w:lvlJc w:val="left"/>
      <w:pPr>
        <w:ind w:left="2124" w:hanging="420"/>
      </w:pPr>
    </w:lvl>
    <w:lvl w:ilvl="4" w:tentative="0">
      <w:start w:val="1"/>
      <w:numFmt w:val="lowerLetter"/>
      <w:lvlText w:val="%5)"/>
      <w:lvlJc w:val="left"/>
      <w:pPr>
        <w:ind w:left="2544" w:hanging="420"/>
      </w:pPr>
    </w:lvl>
    <w:lvl w:ilvl="5" w:tentative="0">
      <w:start w:val="1"/>
      <w:numFmt w:val="lowerRoman"/>
      <w:lvlText w:val="%6."/>
      <w:lvlJc w:val="right"/>
      <w:pPr>
        <w:ind w:left="2964" w:hanging="420"/>
      </w:pPr>
    </w:lvl>
    <w:lvl w:ilvl="6" w:tentative="0">
      <w:start w:val="1"/>
      <w:numFmt w:val="decimal"/>
      <w:lvlText w:val="%7."/>
      <w:lvlJc w:val="left"/>
      <w:pPr>
        <w:ind w:left="3384" w:hanging="420"/>
      </w:pPr>
    </w:lvl>
    <w:lvl w:ilvl="7" w:tentative="0">
      <w:start w:val="1"/>
      <w:numFmt w:val="lowerLetter"/>
      <w:lvlText w:val="%8)"/>
      <w:lvlJc w:val="left"/>
      <w:pPr>
        <w:ind w:left="3804" w:hanging="420"/>
      </w:pPr>
    </w:lvl>
    <w:lvl w:ilvl="8" w:tentative="0">
      <w:start w:val="1"/>
      <w:numFmt w:val="lowerRoman"/>
      <w:lvlText w:val="%9."/>
      <w:lvlJc w:val="right"/>
      <w:pPr>
        <w:ind w:left="4224" w:hanging="420"/>
      </w:pPr>
    </w:lvl>
  </w:abstractNum>
  <w:abstractNum w:abstractNumId="7">
    <w:nsid w:val="5BE1501D"/>
    <w:multiLevelType w:val="singleLevel"/>
    <w:tmpl w:val="5BE1501D"/>
    <w:lvl w:ilvl="0" w:tentative="0">
      <w:start w:val="1"/>
      <w:numFmt w:val="decimal"/>
      <w:lvlText w:val="%1)"/>
      <w:lvlJc w:val="left"/>
      <w:pPr>
        <w:ind w:left="425" w:hanging="425"/>
      </w:pPr>
      <w:rPr>
        <w:rFonts w:hint="default"/>
      </w:rPr>
    </w:lvl>
  </w:abstractNum>
  <w:abstractNum w:abstractNumId="8">
    <w:nsid w:val="5EAA6E4B"/>
    <w:multiLevelType w:val="multilevel"/>
    <w:tmpl w:val="5EAA6E4B"/>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9">
    <w:nsid w:val="72CB24C2"/>
    <w:multiLevelType w:val="multilevel"/>
    <w:tmpl w:val="72CB24C2"/>
    <w:lvl w:ilvl="0" w:tentative="0">
      <w:start w:val="1"/>
      <w:numFmt w:val="decimal"/>
      <w:lvlText w:val="%1、"/>
      <w:lvlJc w:val="left"/>
      <w:pPr>
        <w:ind w:left="864" w:hanging="420"/>
      </w:pPr>
      <w:rPr>
        <w:rFonts w:hint="eastAsia"/>
      </w:rPr>
    </w:lvl>
    <w:lvl w:ilvl="1" w:tentative="0">
      <w:start w:val="1"/>
      <w:numFmt w:val="lowerLetter"/>
      <w:lvlText w:val="%2)"/>
      <w:lvlJc w:val="left"/>
      <w:pPr>
        <w:ind w:left="1284" w:hanging="420"/>
      </w:pPr>
    </w:lvl>
    <w:lvl w:ilvl="2" w:tentative="0">
      <w:start w:val="1"/>
      <w:numFmt w:val="lowerRoman"/>
      <w:lvlText w:val="%3."/>
      <w:lvlJc w:val="right"/>
      <w:pPr>
        <w:ind w:left="1704" w:hanging="420"/>
      </w:pPr>
    </w:lvl>
    <w:lvl w:ilvl="3" w:tentative="0">
      <w:start w:val="1"/>
      <w:numFmt w:val="decimal"/>
      <w:lvlText w:val="%4."/>
      <w:lvlJc w:val="left"/>
      <w:pPr>
        <w:ind w:left="2124" w:hanging="420"/>
      </w:pPr>
    </w:lvl>
    <w:lvl w:ilvl="4" w:tentative="0">
      <w:start w:val="1"/>
      <w:numFmt w:val="lowerLetter"/>
      <w:lvlText w:val="%5)"/>
      <w:lvlJc w:val="left"/>
      <w:pPr>
        <w:ind w:left="2544" w:hanging="420"/>
      </w:pPr>
    </w:lvl>
    <w:lvl w:ilvl="5" w:tentative="0">
      <w:start w:val="1"/>
      <w:numFmt w:val="lowerRoman"/>
      <w:lvlText w:val="%6."/>
      <w:lvlJc w:val="right"/>
      <w:pPr>
        <w:ind w:left="2964" w:hanging="420"/>
      </w:pPr>
    </w:lvl>
    <w:lvl w:ilvl="6" w:tentative="0">
      <w:start w:val="1"/>
      <w:numFmt w:val="decimal"/>
      <w:lvlText w:val="%7."/>
      <w:lvlJc w:val="left"/>
      <w:pPr>
        <w:ind w:left="3384" w:hanging="420"/>
      </w:pPr>
    </w:lvl>
    <w:lvl w:ilvl="7" w:tentative="0">
      <w:start w:val="1"/>
      <w:numFmt w:val="lowerLetter"/>
      <w:lvlText w:val="%8)"/>
      <w:lvlJc w:val="left"/>
      <w:pPr>
        <w:ind w:left="3804" w:hanging="420"/>
      </w:pPr>
    </w:lvl>
    <w:lvl w:ilvl="8" w:tentative="0">
      <w:start w:val="1"/>
      <w:numFmt w:val="lowerRoman"/>
      <w:lvlText w:val="%9."/>
      <w:lvlJc w:val="right"/>
      <w:pPr>
        <w:ind w:left="4224" w:hanging="420"/>
      </w:pPr>
    </w:lvl>
  </w:abstractNum>
  <w:num w:numId="1">
    <w:abstractNumId w:val="2"/>
  </w:num>
  <w:num w:numId="2">
    <w:abstractNumId w:val="8"/>
  </w:num>
  <w:num w:numId="3">
    <w:abstractNumId w:val="7"/>
  </w:num>
  <w:num w:numId="4">
    <w:abstractNumId w:val="3"/>
  </w:num>
  <w:num w:numId="5">
    <w:abstractNumId w:val="5"/>
  </w:num>
  <w:num w:numId="6">
    <w:abstractNumId w:val="4"/>
  </w:num>
  <w:num w:numId="7">
    <w:abstractNumId w:val="1"/>
  </w:num>
  <w:num w:numId="8">
    <w:abstractNumId w:val="9"/>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hideSpellingErrors/>
  <w:hideGrammaticalErrors/>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E3ODdlMjFjMmU2ODVlYjgzOTQ4ZGNhZWQ0YmE2NjIifQ=="/>
  </w:docVars>
  <w:rsids>
    <w:rsidRoot w:val="004C3BE2"/>
    <w:rsid w:val="000078D6"/>
    <w:rsid w:val="00032D32"/>
    <w:rsid w:val="00041EBF"/>
    <w:rsid w:val="00050C0A"/>
    <w:rsid w:val="00056492"/>
    <w:rsid w:val="0006099C"/>
    <w:rsid w:val="000648FA"/>
    <w:rsid w:val="00067140"/>
    <w:rsid w:val="000736B6"/>
    <w:rsid w:val="000739B4"/>
    <w:rsid w:val="000746A8"/>
    <w:rsid w:val="000772B0"/>
    <w:rsid w:val="000775B9"/>
    <w:rsid w:val="00080B9D"/>
    <w:rsid w:val="00096FBD"/>
    <w:rsid w:val="000A7E5F"/>
    <w:rsid w:val="000C0F99"/>
    <w:rsid w:val="000C50B6"/>
    <w:rsid w:val="000C6E00"/>
    <w:rsid w:val="000E2ADA"/>
    <w:rsid w:val="000E3C05"/>
    <w:rsid w:val="000E71B7"/>
    <w:rsid w:val="000F08B0"/>
    <w:rsid w:val="000F2D90"/>
    <w:rsid w:val="001008B6"/>
    <w:rsid w:val="00100E03"/>
    <w:rsid w:val="0011226C"/>
    <w:rsid w:val="00114118"/>
    <w:rsid w:val="00114E47"/>
    <w:rsid w:val="00116AEA"/>
    <w:rsid w:val="00122C60"/>
    <w:rsid w:val="001234C5"/>
    <w:rsid w:val="00126AAD"/>
    <w:rsid w:val="0012742A"/>
    <w:rsid w:val="00134992"/>
    <w:rsid w:val="00135A1C"/>
    <w:rsid w:val="001415E3"/>
    <w:rsid w:val="001505A6"/>
    <w:rsid w:val="001505DA"/>
    <w:rsid w:val="00165BFC"/>
    <w:rsid w:val="00182B27"/>
    <w:rsid w:val="0018697C"/>
    <w:rsid w:val="001A6093"/>
    <w:rsid w:val="001A67A6"/>
    <w:rsid w:val="001B00A2"/>
    <w:rsid w:val="001B60B7"/>
    <w:rsid w:val="001C5EA3"/>
    <w:rsid w:val="001C7BC8"/>
    <w:rsid w:val="001D07AE"/>
    <w:rsid w:val="001D2A4B"/>
    <w:rsid w:val="001D34FD"/>
    <w:rsid w:val="001F07B3"/>
    <w:rsid w:val="001F515F"/>
    <w:rsid w:val="001F580F"/>
    <w:rsid w:val="001F66C0"/>
    <w:rsid w:val="001F7891"/>
    <w:rsid w:val="00205135"/>
    <w:rsid w:val="00214427"/>
    <w:rsid w:val="00225940"/>
    <w:rsid w:val="00226CAB"/>
    <w:rsid w:val="00235948"/>
    <w:rsid w:val="002372F3"/>
    <w:rsid w:val="00246177"/>
    <w:rsid w:val="00257362"/>
    <w:rsid w:val="00260ABF"/>
    <w:rsid w:val="002621E4"/>
    <w:rsid w:val="00266560"/>
    <w:rsid w:val="0026702F"/>
    <w:rsid w:val="00271F0A"/>
    <w:rsid w:val="0028144D"/>
    <w:rsid w:val="00285705"/>
    <w:rsid w:val="002862F9"/>
    <w:rsid w:val="00287588"/>
    <w:rsid w:val="00294126"/>
    <w:rsid w:val="002B17B1"/>
    <w:rsid w:val="002B1ADF"/>
    <w:rsid w:val="002C32D3"/>
    <w:rsid w:val="002C49EE"/>
    <w:rsid w:val="002C64B1"/>
    <w:rsid w:val="002D219E"/>
    <w:rsid w:val="002E1FB0"/>
    <w:rsid w:val="002E39EC"/>
    <w:rsid w:val="00330DF0"/>
    <w:rsid w:val="003316BD"/>
    <w:rsid w:val="003353B1"/>
    <w:rsid w:val="003443BF"/>
    <w:rsid w:val="00350ABF"/>
    <w:rsid w:val="0035754E"/>
    <w:rsid w:val="00373D67"/>
    <w:rsid w:val="00386DF8"/>
    <w:rsid w:val="00392AEF"/>
    <w:rsid w:val="003B7F74"/>
    <w:rsid w:val="003C0613"/>
    <w:rsid w:val="003E034F"/>
    <w:rsid w:val="003F0C3D"/>
    <w:rsid w:val="003F6705"/>
    <w:rsid w:val="003F6723"/>
    <w:rsid w:val="00401172"/>
    <w:rsid w:val="00407429"/>
    <w:rsid w:val="00407F62"/>
    <w:rsid w:val="004212DC"/>
    <w:rsid w:val="00421CC9"/>
    <w:rsid w:val="004222FD"/>
    <w:rsid w:val="00450051"/>
    <w:rsid w:val="004527EF"/>
    <w:rsid w:val="00452E0B"/>
    <w:rsid w:val="00457066"/>
    <w:rsid w:val="004601E5"/>
    <w:rsid w:val="00462A75"/>
    <w:rsid w:val="00466E3E"/>
    <w:rsid w:val="0047549A"/>
    <w:rsid w:val="00486CF8"/>
    <w:rsid w:val="00487AAA"/>
    <w:rsid w:val="004A05ED"/>
    <w:rsid w:val="004A5AC6"/>
    <w:rsid w:val="004A6435"/>
    <w:rsid w:val="004C1987"/>
    <w:rsid w:val="004C3BE2"/>
    <w:rsid w:val="004C7432"/>
    <w:rsid w:val="004D32B4"/>
    <w:rsid w:val="004D4CFE"/>
    <w:rsid w:val="004E32E5"/>
    <w:rsid w:val="004E38EA"/>
    <w:rsid w:val="004E779E"/>
    <w:rsid w:val="004F6B1D"/>
    <w:rsid w:val="004F744F"/>
    <w:rsid w:val="00512851"/>
    <w:rsid w:val="005141E6"/>
    <w:rsid w:val="005208D4"/>
    <w:rsid w:val="00521E03"/>
    <w:rsid w:val="00523DC8"/>
    <w:rsid w:val="00532509"/>
    <w:rsid w:val="00533AE4"/>
    <w:rsid w:val="0053518A"/>
    <w:rsid w:val="00537541"/>
    <w:rsid w:val="00537D7A"/>
    <w:rsid w:val="00537DE0"/>
    <w:rsid w:val="00541797"/>
    <w:rsid w:val="00541ECE"/>
    <w:rsid w:val="005435E7"/>
    <w:rsid w:val="005559AB"/>
    <w:rsid w:val="005616AD"/>
    <w:rsid w:val="00567FB7"/>
    <w:rsid w:val="005822C6"/>
    <w:rsid w:val="005837C6"/>
    <w:rsid w:val="00590630"/>
    <w:rsid w:val="005C0479"/>
    <w:rsid w:val="005C1C0E"/>
    <w:rsid w:val="005C42FA"/>
    <w:rsid w:val="005D081F"/>
    <w:rsid w:val="005E37C8"/>
    <w:rsid w:val="005E6E40"/>
    <w:rsid w:val="005F265D"/>
    <w:rsid w:val="005F75A6"/>
    <w:rsid w:val="00605B81"/>
    <w:rsid w:val="0060785A"/>
    <w:rsid w:val="006160C2"/>
    <w:rsid w:val="0061627A"/>
    <w:rsid w:val="00617304"/>
    <w:rsid w:val="00624BB1"/>
    <w:rsid w:val="0063094A"/>
    <w:rsid w:val="00631CC9"/>
    <w:rsid w:val="00632A49"/>
    <w:rsid w:val="00633315"/>
    <w:rsid w:val="006338F4"/>
    <w:rsid w:val="00635832"/>
    <w:rsid w:val="00636D9C"/>
    <w:rsid w:val="00637975"/>
    <w:rsid w:val="00643EA2"/>
    <w:rsid w:val="006520E3"/>
    <w:rsid w:val="00653727"/>
    <w:rsid w:val="00653A3F"/>
    <w:rsid w:val="00662166"/>
    <w:rsid w:val="006649FA"/>
    <w:rsid w:val="00665B9B"/>
    <w:rsid w:val="00671467"/>
    <w:rsid w:val="00672ED5"/>
    <w:rsid w:val="006759FF"/>
    <w:rsid w:val="006760B4"/>
    <w:rsid w:val="0068218A"/>
    <w:rsid w:val="00684CCC"/>
    <w:rsid w:val="00691A48"/>
    <w:rsid w:val="00693ECE"/>
    <w:rsid w:val="00693F23"/>
    <w:rsid w:val="006A0E3E"/>
    <w:rsid w:val="006A3258"/>
    <w:rsid w:val="006A34D4"/>
    <w:rsid w:val="006A49CB"/>
    <w:rsid w:val="006B18F7"/>
    <w:rsid w:val="006B3F23"/>
    <w:rsid w:val="006B621C"/>
    <w:rsid w:val="006B6C4F"/>
    <w:rsid w:val="006C0486"/>
    <w:rsid w:val="006C25E4"/>
    <w:rsid w:val="006C302F"/>
    <w:rsid w:val="006E0691"/>
    <w:rsid w:val="006E400E"/>
    <w:rsid w:val="006E53C1"/>
    <w:rsid w:val="006E6DA5"/>
    <w:rsid w:val="006F0343"/>
    <w:rsid w:val="006F5425"/>
    <w:rsid w:val="00711E13"/>
    <w:rsid w:val="00730D30"/>
    <w:rsid w:val="00741020"/>
    <w:rsid w:val="00743048"/>
    <w:rsid w:val="0074669E"/>
    <w:rsid w:val="00747E1B"/>
    <w:rsid w:val="00762C8A"/>
    <w:rsid w:val="00771FD4"/>
    <w:rsid w:val="00773651"/>
    <w:rsid w:val="007851A2"/>
    <w:rsid w:val="007A45FD"/>
    <w:rsid w:val="007B6F0D"/>
    <w:rsid w:val="007E5CFC"/>
    <w:rsid w:val="007F110D"/>
    <w:rsid w:val="007F395A"/>
    <w:rsid w:val="007F60ED"/>
    <w:rsid w:val="00803E83"/>
    <w:rsid w:val="0081453A"/>
    <w:rsid w:val="00817D05"/>
    <w:rsid w:val="00821EF5"/>
    <w:rsid w:val="008306FD"/>
    <w:rsid w:val="0083294C"/>
    <w:rsid w:val="0083422B"/>
    <w:rsid w:val="008363FF"/>
    <w:rsid w:val="00845E06"/>
    <w:rsid w:val="00851CED"/>
    <w:rsid w:val="008562EB"/>
    <w:rsid w:val="008565BE"/>
    <w:rsid w:val="008607D1"/>
    <w:rsid w:val="00861BE2"/>
    <w:rsid w:val="00866E98"/>
    <w:rsid w:val="00874EF3"/>
    <w:rsid w:val="0087512D"/>
    <w:rsid w:val="00881D51"/>
    <w:rsid w:val="00882912"/>
    <w:rsid w:val="008942B6"/>
    <w:rsid w:val="008A5DC7"/>
    <w:rsid w:val="008C4DFE"/>
    <w:rsid w:val="008D135D"/>
    <w:rsid w:val="008D7C62"/>
    <w:rsid w:val="008E584B"/>
    <w:rsid w:val="008F1BC0"/>
    <w:rsid w:val="008F7DD2"/>
    <w:rsid w:val="009039DB"/>
    <w:rsid w:val="0091004B"/>
    <w:rsid w:val="0092385C"/>
    <w:rsid w:val="0092734E"/>
    <w:rsid w:val="009311AB"/>
    <w:rsid w:val="0093225A"/>
    <w:rsid w:val="00932BA8"/>
    <w:rsid w:val="0093561A"/>
    <w:rsid w:val="00937EEC"/>
    <w:rsid w:val="00941A37"/>
    <w:rsid w:val="0095131A"/>
    <w:rsid w:val="009522F7"/>
    <w:rsid w:val="0097591A"/>
    <w:rsid w:val="0098178D"/>
    <w:rsid w:val="00985F04"/>
    <w:rsid w:val="0099226A"/>
    <w:rsid w:val="00994906"/>
    <w:rsid w:val="009A1969"/>
    <w:rsid w:val="009A7A3D"/>
    <w:rsid w:val="009B2461"/>
    <w:rsid w:val="009B4D88"/>
    <w:rsid w:val="009B504A"/>
    <w:rsid w:val="009C0124"/>
    <w:rsid w:val="009C0661"/>
    <w:rsid w:val="009C59AF"/>
    <w:rsid w:val="009D7916"/>
    <w:rsid w:val="009E50A7"/>
    <w:rsid w:val="009F4653"/>
    <w:rsid w:val="009F5C65"/>
    <w:rsid w:val="00A0089A"/>
    <w:rsid w:val="00A01AF8"/>
    <w:rsid w:val="00A15614"/>
    <w:rsid w:val="00A27C0D"/>
    <w:rsid w:val="00A559DA"/>
    <w:rsid w:val="00A5751D"/>
    <w:rsid w:val="00A578FB"/>
    <w:rsid w:val="00A61346"/>
    <w:rsid w:val="00A64B1A"/>
    <w:rsid w:val="00A668C4"/>
    <w:rsid w:val="00A73A2E"/>
    <w:rsid w:val="00A83AF0"/>
    <w:rsid w:val="00A87B74"/>
    <w:rsid w:val="00A97EA4"/>
    <w:rsid w:val="00AA3EEA"/>
    <w:rsid w:val="00AA7239"/>
    <w:rsid w:val="00AB12FF"/>
    <w:rsid w:val="00AC26DA"/>
    <w:rsid w:val="00AD2FC1"/>
    <w:rsid w:val="00AE7AA8"/>
    <w:rsid w:val="00AF4100"/>
    <w:rsid w:val="00B006B5"/>
    <w:rsid w:val="00B03C48"/>
    <w:rsid w:val="00B06779"/>
    <w:rsid w:val="00B25F18"/>
    <w:rsid w:val="00B33451"/>
    <w:rsid w:val="00B3562C"/>
    <w:rsid w:val="00B3721A"/>
    <w:rsid w:val="00B37DFF"/>
    <w:rsid w:val="00B40E5A"/>
    <w:rsid w:val="00B42033"/>
    <w:rsid w:val="00B47F82"/>
    <w:rsid w:val="00B570AF"/>
    <w:rsid w:val="00B57D68"/>
    <w:rsid w:val="00B64F4E"/>
    <w:rsid w:val="00B65162"/>
    <w:rsid w:val="00B71CD8"/>
    <w:rsid w:val="00B7236D"/>
    <w:rsid w:val="00B7343E"/>
    <w:rsid w:val="00B73DA1"/>
    <w:rsid w:val="00B744D3"/>
    <w:rsid w:val="00B83828"/>
    <w:rsid w:val="00B85980"/>
    <w:rsid w:val="00B93100"/>
    <w:rsid w:val="00BA0C27"/>
    <w:rsid w:val="00BA10B0"/>
    <w:rsid w:val="00BA2E8A"/>
    <w:rsid w:val="00BA507B"/>
    <w:rsid w:val="00BB6E53"/>
    <w:rsid w:val="00BC21F2"/>
    <w:rsid w:val="00BD2356"/>
    <w:rsid w:val="00BD2399"/>
    <w:rsid w:val="00BD393B"/>
    <w:rsid w:val="00BD3AE6"/>
    <w:rsid w:val="00BD4077"/>
    <w:rsid w:val="00BE0283"/>
    <w:rsid w:val="00BE7543"/>
    <w:rsid w:val="00BF0CF4"/>
    <w:rsid w:val="00BF1128"/>
    <w:rsid w:val="00BF2178"/>
    <w:rsid w:val="00BF44B0"/>
    <w:rsid w:val="00C0772C"/>
    <w:rsid w:val="00C27F42"/>
    <w:rsid w:val="00C3098F"/>
    <w:rsid w:val="00C31E55"/>
    <w:rsid w:val="00C3337E"/>
    <w:rsid w:val="00C40680"/>
    <w:rsid w:val="00C47660"/>
    <w:rsid w:val="00C5694A"/>
    <w:rsid w:val="00C62D2A"/>
    <w:rsid w:val="00C64CFA"/>
    <w:rsid w:val="00C71B4C"/>
    <w:rsid w:val="00C75B44"/>
    <w:rsid w:val="00C84935"/>
    <w:rsid w:val="00CB06A5"/>
    <w:rsid w:val="00CB3F34"/>
    <w:rsid w:val="00CD6C33"/>
    <w:rsid w:val="00CD7151"/>
    <w:rsid w:val="00CE1658"/>
    <w:rsid w:val="00D16A6A"/>
    <w:rsid w:val="00D16EB3"/>
    <w:rsid w:val="00D22F9C"/>
    <w:rsid w:val="00D23C7B"/>
    <w:rsid w:val="00D33785"/>
    <w:rsid w:val="00D36298"/>
    <w:rsid w:val="00D37C20"/>
    <w:rsid w:val="00D47AA8"/>
    <w:rsid w:val="00D47D6D"/>
    <w:rsid w:val="00D52E67"/>
    <w:rsid w:val="00D62BE3"/>
    <w:rsid w:val="00D62EE6"/>
    <w:rsid w:val="00D738A6"/>
    <w:rsid w:val="00D81226"/>
    <w:rsid w:val="00D815DF"/>
    <w:rsid w:val="00D81C23"/>
    <w:rsid w:val="00D86115"/>
    <w:rsid w:val="00D9034D"/>
    <w:rsid w:val="00D9490C"/>
    <w:rsid w:val="00D96C61"/>
    <w:rsid w:val="00DA74C2"/>
    <w:rsid w:val="00DB1E6F"/>
    <w:rsid w:val="00DB3C3B"/>
    <w:rsid w:val="00DB4118"/>
    <w:rsid w:val="00DC083D"/>
    <w:rsid w:val="00DC3D7B"/>
    <w:rsid w:val="00DC47EE"/>
    <w:rsid w:val="00DD13A5"/>
    <w:rsid w:val="00DD7BDB"/>
    <w:rsid w:val="00DE1589"/>
    <w:rsid w:val="00DE1E47"/>
    <w:rsid w:val="00DE3505"/>
    <w:rsid w:val="00DF34B1"/>
    <w:rsid w:val="00E01998"/>
    <w:rsid w:val="00E047D3"/>
    <w:rsid w:val="00E11585"/>
    <w:rsid w:val="00E16732"/>
    <w:rsid w:val="00E24588"/>
    <w:rsid w:val="00E25443"/>
    <w:rsid w:val="00E279A9"/>
    <w:rsid w:val="00E3631F"/>
    <w:rsid w:val="00E400EE"/>
    <w:rsid w:val="00E42802"/>
    <w:rsid w:val="00E46A62"/>
    <w:rsid w:val="00E4782C"/>
    <w:rsid w:val="00E47C29"/>
    <w:rsid w:val="00E51E41"/>
    <w:rsid w:val="00E56485"/>
    <w:rsid w:val="00E64D39"/>
    <w:rsid w:val="00E70EF9"/>
    <w:rsid w:val="00E7537A"/>
    <w:rsid w:val="00E756A9"/>
    <w:rsid w:val="00E817EA"/>
    <w:rsid w:val="00E8184A"/>
    <w:rsid w:val="00E83BA8"/>
    <w:rsid w:val="00E87B65"/>
    <w:rsid w:val="00E904EE"/>
    <w:rsid w:val="00E97CD8"/>
    <w:rsid w:val="00EA1B6F"/>
    <w:rsid w:val="00EA2B52"/>
    <w:rsid w:val="00EB631E"/>
    <w:rsid w:val="00EC1B08"/>
    <w:rsid w:val="00EC789E"/>
    <w:rsid w:val="00ED2C64"/>
    <w:rsid w:val="00ED4024"/>
    <w:rsid w:val="00EE682B"/>
    <w:rsid w:val="00EF1F40"/>
    <w:rsid w:val="00EF26C1"/>
    <w:rsid w:val="00F16BDB"/>
    <w:rsid w:val="00F21926"/>
    <w:rsid w:val="00F24923"/>
    <w:rsid w:val="00F25E81"/>
    <w:rsid w:val="00F266BE"/>
    <w:rsid w:val="00F27652"/>
    <w:rsid w:val="00F449C6"/>
    <w:rsid w:val="00F608A2"/>
    <w:rsid w:val="00F704A5"/>
    <w:rsid w:val="00F71674"/>
    <w:rsid w:val="00F72854"/>
    <w:rsid w:val="00F77A8D"/>
    <w:rsid w:val="00F932CA"/>
    <w:rsid w:val="00F94610"/>
    <w:rsid w:val="00FA1CC9"/>
    <w:rsid w:val="00FC777D"/>
    <w:rsid w:val="00FD277B"/>
    <w:rsid w:val="00FD6FF1"/>
    <w:rsid w:val="00FF3180"/>
    <w:rsid w:val="01094945"/>
    <w:rsid w:val="01283858"/>
    <w:rsid w:val="0204567E"/>
    <w:rsid w:val="03273E59"/>
    <w:rsid w:val="03802553"/>
    <w:rsid w:val="03AC1E83"/>
    <w:rsid w:val="040E43B5"/>
    <w:rsid w:val="04966074"/>
    <w:rsid w:val="04AE25BD"/>
    <w:rsid w:val="056769DA"/>
    <w:rsid w:val="06813E39"/>
    <w:rsid w:val="068B4A43"/>
    <w:rsid w:val="06944303"/>
    <w:rsid w:val="06CA7D95"/>
    <w:rsid w:val="076B6BAC"/>
    <w:rsid w:val="07B76CEE"/>
    <w:rsid w:val="07F379BB"/>
    <w:rsid w:val="085E7258"/>
    <w:rsid w:val="08C91CE3"/>
    <w:rsid w:val="08E04DEA"/>
    <w:rsid w:val="0972111F"/>
    <w:rsid w:val="09BE680A"/>
    <w:rsid w:val="0AFB3396"/>
    <w:rsid w:val="0B013047"/>
    <w:rsid w:val="0B0D494A"/>
    <w:rsid w:val="0B0F63E8"/>
    <w:rsid w:val="0B663468"/>
    <w:rsid w:val="0B792C38"/>
    <w:rsid w:val="0C4F66A6"/>
    <w:rsid w:val="0E5E2BCD"/>
    <w:rsid w:val="0E914AF4"/>
    <w:rsid w:val="0F383C56"/>
    <w:rsid w:val="0FC1617E"/>
    <w:rsid w:val="0FC226D4"/>
    <w:rsid w:val="106E37C3"/>
    <w:rsid w:val="10F15F04"/>
    <w:rsid w:val="110B6F59"/>
    <w:rsid w:val="11496C09"/>
    <w:rsid w:val="1167248D"/>
    <w:rsid w:val="118C166A"/>
    <w:rsid w:val="11B20C52"/>
    <w:rsid w:val="11FE23E2"/>
    <w:rsid w:val="12AB3CFC"/>
    <w:rsid w:val="134F1DF4"/>
    <w:rsid w:val="1367395A"/>
    <w:rsid w:val="13D5039C"/>
    <w:rsid w:val="13DF4CA5"/>
    <w:rsid w:val="146976FA"/>
    <w:rsid w:val="14900E1D"/>
    <w:rsid w:val="156D6A36"/>
    <w:rsid w:val="15D6310F"/>
    <w:rsid w:val="15E811D2"/>
    <w:rsid w:val="16A849EE"/>
    <w:rsid w:val="16C32BD4"/>
    <w:rsid w:val="185A01E2"/>
    <w:rsid w:val="18636337"/>
    <w:rsid w:val="18FA1364"/>
    <w:rsid w:val="19AC242B"/>
    <w:rsid w:val="1B1E3089"/>
    <w:rsid w:val="1B5E152E"/>
    <w:rsid w:val="1B6D02EA"/>
    <w:rsid w:val="1BF40C3D"/>
    <w:rsid w:val="1C0112F2"/>
    <w:rsid w:val="1CDD55E8"/>
    <w:rsid w:val="1D193A83"/>
    <w:rsid w:val="1D22495B"/>
    <w:rsid w:val="1D4454E3"/>
    <w:rsid w:val="1DBC6B72"/>
    <w:rsid w:val="1E411CBC"/>
    <w:rsid w:val="1F011A6A"/>
    <w:rsid w:val="1F152F2A"/>
    <w:rsid w:val="1FBC0785"/>
    <w:rsid w:val="20457135"/>
    <w:rsid w:val="20464723"/>
    <w:rsid w:val="213C1849"/>
    <w:rsid w:val="21584210"/>
    <w:rsid w:val="217649F2"/>
    <w:rsid w:val="2187050F"/>
    <w:rsid w:val="22177DFE"/>
    <w:rsid w:val="2245454D"/>
    <w:rsid w:val="22624B36"/>
    <w:rsid w:val="22DF0546"/>
    <w:rsid w:val="238D67E2"/>
    <w:rsid w:val="23D76DDC"/>
    <w:rsid w:val="240252EE"/>
    <w:rsid w:val="240370EB"/>
    <w:rsid w:val="2430444E"/>
    <w:rsid w:val="24966FE0"/>
    <w:rsid w:val="24BB25D0"/>
    <w:rsid w:val="25106FEC"/>
    <w:rsid w:val="25CA020F"/>
    <w:rsid w:val="26026DA6"/>
    <w:rsid w:val="26260CD0"/>
    <w:rsid w:val="26276EC5"/>
    <w:rsid w:val="26B41D21"/>
    <w:rsid w:val="26E825C8"/>
    <w:rsid w:val="27651E6B"/>
    <w:rsid w:val="27963AF1"/>
    <w:rsid w:val="281B636D"/>
    <w:rsid w:val="284B0E94"/>
    <w:rsid w:val="289A00E7"/>
    <w:rsid w:val="28C6397D"/>
    <w:rsid w:val="29A23059"/>
    <w:rsid w:val="29BE6522"/>
    <w:rsid w:val="29C25353"/>
    <w:rsid w:val="2A3113C8"/>
    <w:rsid w:val="2A4B1F72"/>
    <w:rsid w:val="2AB832E8"/>
    <w:rsid w:val="2B01299A"/>
    <w:rsid w:val="2B0C3E75"/>
    <w:rsid w:val="2B141BDE"/>
    <w:rsid w:val="2B223D81"/>
    <w:rsid w:val="2B3D6A2A"/>
    <w:rsid w:val="2B5E746A"/>
    <w:rsid w:val="2CB04427"/>
    <w:rsid w:val="2D1227BA"/>
    <w:rsid w:val="2E730D11"/>
    <w:rsid w:val="2F125C8E"/>
    <w:rsid w:val="2F633947"/>
    <w:rsid w:val="2F9648B7"/>
    <w:rsid w:val="2FB055CC"/>
    <w:rsid w:val="2FBB395D"/>
    <w:rsid w:val="30773546"/>
    <w:rsid w:val="311F3225"/>
    <w:rsid w:val="31684A32"/>
    <w:rsid w:val="31741639"/>
    <w:rsid w:val="31F63DB5"/>
    <w:rsid w:val="334E6D61"/>
    <w:rsid w:val="3383605E"/>
    <w:rsid w:val="339348FF"/>
    <w:rsid w:val="3399164D"/>
    <w:rsid w:val="339D640D"/>
    <w:rsid w:val="33CD760B"/>
    <w:rsid w:val="33D979AB"/>
    <w:rsid w:val="340E0074"/>
    <w:rsid w:val="348E360B"/>
    <w:rsid w:val="350717EA"/>
    <w:rsid w:val="3523199F"/>
    <w:rsid w:val="355E6A9D"/>
    <w:rsid w:val="35987B7B"/>
    <w:rsid w:val="35F5417F"/>
    <w:rsid w:val="364135AE"/>
    <w:rsid w:val="3683687F"/>
    <w:rsid w:val="36A36665"/>
    <w:rsid w:val="36AA7BBB"/>
    <w:rsid w:val="3744384B"/>
    <w:rsid w:val="376457B3"/>
    <w:rsid w:val="377858CC"/>
    <w:rsid w:val="391060DB"/>
    <w:rsid w:val="39284554"/>
    <w:rsid w:val="39440EC0"/>
    <w:rsid w:val="396E2E01"/>
    <w:rsid w:val="39841C36"/>
    <w:rsid w:val="399860D0"/>
    <w:rsid w:val="39C46EC5"/>
    <w:rsid w:val="39D03A6F"/>
    <w:rsid w:val="3AA57F5C"/>
    <w:rsid w:val="3AA95D81"/>
    <w:rsid w:val="3AAF1923"/>
    <w:rsid w:val="3ADD7AF5"/>
    <w:rsid w:val="3AF75A49"/>
    <w:rsid w:val="3BD72A99"/>
    <w:rsid w:val="3BE3666F"/>
    <w:rsid w:val="3BFF1BEB"/>
    <w:rsid w:val="3C585809"/>
    <w:rsid w:val="3CA338F5"/>
    <w:rsid w:val="3CFA327F"/>
    <w:rsid w:val="3DCB3ED4"/>
    <w:rsid w:val="3E197BF0"/>
    <w:rsid w:val="3F542D5B"/>
    <w:rsid w:val="3F6B16BB"/>
    <w:rsid w:val="40277950"/>
    <w:rsid w:val="40331BD8"/>
    <w:rsid w:val="40DF1862"/>
    <w:rsid w:val="41461573"/>
    <w:rsid w:val="427673B5"/>
    <w:rsid w:val="427D40B5"/>
    <w:rsid w:val="42EB6C45"/>
    <w:rsid w:val="43734526"/>
    <w:rsid w:val="4376003C"/>
    <w:rsid w:val="43DB5537"/>
    <w:rsid w:val="43E857ED"/>
    <w:rsid w:val="43F70DE5"/>
    <w:rsid w:val="44056B65"/>
    <w:rsid w:val="441A2F08"/>
    <w:rsid w:val="4517259F"/>
    <w:rsid w:val="45253484"/>
    <w:rsid w:val="452F4623"/>
    <w:rsid w:val="46267925"/>
    <w:rsid w:val="4644085F"/>
    <w:rsid w:val="46B7537D"/>
    <w:rsid w:val="46D358EE"/>
    <w:rsid w:val="474358CD"/>
    <w:rsid w:val="47D44777"/>
    <w:rsid w:val="47DE4B32"/>
    <w:rsid w:val="480D1D44"/>
    <w:rsid w:val="48372B88"/>
    <w:rsid w:val="48586555"/>
    <w:rsid w:val="48644951"/>
    <w:rsid w:val="48A531BC"/>
    <w:rsid w:val="4972708D"/>
    <w:rsid w:val="4A5A0CAE"/>
    <w:rsid w:val="4B105AF2"/>
    <w:rsid w:val="4B1E4EE0"/>
    <w:rsid w:val="4B68369B"/>
    <w:rsid w:val="4BC47A94"/>
    <w:rsid w:val="4BD40FA2"/>
    <w:rsid w:val="4C177328"/>
    <w:rsid w:val="4C2D3827"/>
    <w:rsid w:val="4C333D8B"/>
    <w:rsid w:val="4C8A4EC1"/>
    <w:rsid w:val="4C957C4F"/>
    <w:rsid w:val="4CE053E4"/>
    <w:rsid w:val="4D0A709D"/>
    <w:rsid w:val="4D756297"/>
    <w:rsid w:val="4DF655F8"/>
    <w:rsid w:val="4E7801B7"/>
    <w:rsid w:val="4ECC4356"/>
    <w:rsid w:val="4F183151"/>
    <w:rsid w:val="4FA17831"/>
    <w:rsid w:val="50195111"/>
    <w:rsid w:val="50A867A1"/>
    <w:rsid w:val="519240E2"/>
    <w:rsid w:val="51A87F87"/>
    <w:rsid w:val="51B02A70"/>
    <w:rsid w:val="52133D06"/>
    <w:rsid w:val="527C37E2"/>
    <w:rsid w:val="52A70C3E"/>
    <w:rsid w:val="53412061"/>
    <w:rsid w:val="53974F99"/>
    <w:rsid w:val="53A379A8"/>
    <w:rsid w:val="53BC0ADD"/>
    <w:rsid w:val="53C42D25"/>
    <w:rsid w:val="54A23167"/>
    <w:rsid w:val="54D61FB2"/>
    <w:rsid w:val="550E5173"/>
    <w:rsid w:val="554561F4"/>
    <w:rsid w:val="55643F40"/>
    <w:rsid w:val="55923DF2"/>
    <w:rsid w:val="55B300C2"/>
    <w:rsid w:val="55FE6DE7"/>
    <w:rsid w:val="56C83F1B"/>
    <w:rsid w:val="570B7A8A"/>
    <w:rsid w:val="573617F2"/>
    <w:rsid w:val="5796450D"/>
    <w:rsid w:val="589D72A9"/>
    <w:rsid w:val="58B008E9"/>
    <w:rsid w:val="58B970B1"/>
    <w:rsid w:val="595F0805"/>
    <w:rsid w:val="597B11D6"/>
    <w:rsid w:val="598C4EB2"/>
    <w:rsid w:val="59F36646"/>
    <w:rsid w:val="5A910C62"/>
    <w:rsid w:val="5A933E27"/>
    <w:rsid w:val="5ACF598C"/>
    <w:rsid w:val="5B1D0508"/>
    <w:rsid w:val="5BDE713A"/>
    <w:rsid w:val="5C1A2920"/>
    <w:rsid w:val="5C2A591E"/>
    <w:rsid w:val="5C880A02"/>
    <w:rsid w:val="5CED210B"/>
    <w:rsid w:val="5E8747AC"/>
    <w:rsid w:val="5F1167D9"/>
    <w:rsid w:val="5F640305"/>
    <w:rsid w:val="5FA00A13"/>
    <w:rsid w:val="5FD501C7"/>
    <w:rsid w:val="5FF25578"/>
    <w:rsid w:val="60031C46"/>
    <w:rsid w:val="602F32A8"/>
    <w:rsid w:val="603F2352"/>
    <w:rsid w:val="606F72DB"/>
    <w:rsid w:val="60D50C0D"/>
    <w:rsid w:val="60DF1445"/>
    <w:rsid w:val="60E45B94"/>
    <w:rsid w:val="60EA6962"/>
    <w:rsid w:val="61497B2C"/>
    <w:rsid w:val="616C1F05"/>
    <w:rsid w:val="619568CD"/>
    <w:rsid w:val="61E7527B"/>
    <w:rsid w:val="62173786"/>
    <w:rsid w:val="621A25FF"/>
    <w:rsid w:val="625649E2"/>
    <w:rsid w:val="62C84823"/>
    <w:rsid w:val="62F16356"/>
    <w:rsid w:val="62F420FE"/>
    <w:rsid w:val="62FE7D99"/>
    <w:rsid w:val="63C510F7"/>
    <w:rsid w:val="64302217"/>
    <w:rsid w:val="6472739A"/>
    <w:rsid w:val="64D96C80"/>
    <w:rsid w:val="64E20AC6"/>
    <w:rsid w:val="64F71AB3"/>
    <w:rsid w:val="6523167D"/>
    <w:rsid w:val="65264931"/>
    <w:rsid w:val="66117D34"/>
    <w:rsid w:val="66502FF9"/>
    <w:rsid w:val="66A46E91"/>
    <w:rsid w:val="676807FD"/>
    <w:rsid w:val="676854BC"/>
    <w:rsid w:val="67864974"/>
    <w:rsid w:val="67BD1708"/>
    <w:rsid w:val="6809500A"/>
    <w:rsid w:val="682037F7"/>
    <w:rsid w:val="682D3D04"/>
    <w:rsid w:val="685448D8"/>
    <w:rsid w:val="68FF12D5"/>
    <w:rsid w:val="69341F4B"/>
    <w:rsid w:val="69BD2E65"/>
    <w:rsid w:val="69F73CD9"/>
    <w:rsid w:val="6A06008A"/>
    <w:rsid w:val="6A4A545B"/>
    <w:rsid w:val="6A724046"/>
    <w:rsid w:val="6A876C27"/>
    <w:rsid w:val="6A930BF5"/>
    <w:rsid w:val="6AD6187B"/>
    <w:rsid w:val="6B193F63"/>
    <w:rsid w:val="6B773E86"/>
    <w:rsid w:val="6BB66561"/>
    <w:rsid w:val="6C1442C8"/>
    <w:rsid w:val="6C3777B7"/>
    <w:rsid w:val="6C95274E"/>
    <w:rsid w:val="6CAD5A95"/>
    <w:rsid w:val="6CB03191"/>
    <w:rsid w:val="6CD0178A"/>
    <w:rsid w:val="6D1E00BF"/>
    <w:rsid w:val="6D3E3D60"/>
    <w:rsid w:val="6DAF616D"/>
    <w:rsid w:val="6DBE775E"/>
    <w:rsid w:val="6DCA0778"/>
    <w:rsid w:val="6DCB2F97"/>
    <w:rsid w:val="6FBB67FD"/>
    <w:rsid w:val="700A07DC"/>
    <w:rsid w:val="70886779"/>
    <w:rsid w:val="718353E1"/>
    <w:rsid w:val="71C01A00"/>
    <w:rsid w:val="71D81065"/>
    <w:rsid w:val="720A7028"/>
    <w:rsid w:val="7249173A"/>
    <w:rsid w:val="73B357B2"/>
    <w:rsid w:val="73DB077A"/>
    <w:rsid w:val="740A249E"/>
    <w:rsid w:val="742B77FD"/>
    <w:rsid w:val="745064DD"/>
    <w:rsid w:val="74634609"/>
    <w:rsid w:val="74972533"/>
    <w:rsid w:val="7531417B"/>
    <w:rsid w:val="75440347"/>
    <w:rsid w:val="754B1021"/>
    <w:rsid w:val="755C1339"/>
    <w:rsid w:val="759C431E"/>
    <w:rsid w:val="75C02385"/>
    <w:rsid w:val="76386D0A"/>
    <w:rsid w:val="76592B3A"/>
    <w:rsid w:val="777D59E2"/>
    <w:rsid w:val="782B0879"/>
    <w:rsid w:val="782D5F38"/>
    <w:rsid w:val="78824EC6"/>
    <w:rsid w:val="78CE09AD"/>
    <w:rsid w:val="79FC1788"/>
    <w:rsid w:val="7AC30D76"/>
    <w:rsid w:val="7ACE04D8"/>
    <w:rsid w:val="7AD4439D"/>
    <w:rsid w:val="7AEA37B3"/>
    <w:rsid w:val="7B182183"/>
    <w:rsid w:val="7B4C229B"/>
    <w:rsid w:val="7B786BEC"/>
    <w:rsid w:val="7BD57681"/>
    <w:rsid w:val="7BE17762"/>
    <w:rsid w:val="7C8A7152"/>
    <w:rsid w:val="7CAD001B"/>
    <w:rsid w:val="7D2124A7"/>
    <w:rsid w:val="7D7A086E"/>
    <w:rsid w:val="7D7B413C"/>
    <w:rsid w:val="7E314D16"/>
    <w:rsid w:val="7E34331A"/>
    <w:rsid w:val="7EA11B24"/>
    <w:rsid w:val="7F043647"/>
    <w:rsid w:val="7F477001"/>
    <w:rsid w:val="7F842F26"/>
    <w:rsid w:val="7F9C5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qFormat="1" w:uiPriority="0" w:name="Table Columns 2"/>
    <w:lsdException w:uiPriority="0" w:name="Table Columns 3"/>
    <w:lsdException w:uiPriority="0" w:name="Table Columns 4"/>
    <w:lsdException w:uiPriority="0" w:name="Table Columns 5"/>
    <w:lsdException w:qFormat="1" w:uiPriority="0" w:name="Table Grid 1"/>
    <w:lsdException w:qFormat="1"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qFormat="1"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27"/>
    <w:qFormat/>
    <w:uiPriority w:val="0"/>
    <w:pPr>
      <w:keepNext/>
      <w:keepLines/>
      <w:pageBreakBefore/>
      <w:widowControl/>
      <w:numPr>
        <w:ilvl w:val="0"/>
        <w:numId w:val="1"/>
      </w:numPr>
      <w:spacing w:before="120" w:after="120" w:line="576" w:lineRule="auto"/>
      <w:jc w:val="center"/>
      <w:outlineLvl w:val="0"/>
    </w:pPr>
    <w:rPr>
      <w:rFonts w:ascii="宋体" w:hAnsi="宋体"/>
      <w:b/>
      <w:bCs/>
      <w:kern w:val="0"/>
      <w:sz w:val="32"/>
      <w:szCs w:val="32"/>
    </w:rPr>
  </w:style>
  <w:style w:type="paragraph" w:styleId="5">
    <w:name w:val="heading 2"/>
    <w:basedOn w:val="1"/>
    <w:next w:val="1"/>
    <w:link w:val="28"/>
    <w:qFormat/>
    <w:uiPriority w:val="0"/>
    <w:pPr>
      <w:keepNext/>
      <w:keepLines/>
      <w:numPr>
        <w:ilvl w:val="1"/>
        <w:numId w:val="1"/>
      </w:numPr>
      <w:spacing w:line="360" w:lineRule="auto"/>
      <w:outlineLvl w:val="1"/>
    </w:pPr>
    <w:rPr>
      <w:rFonts w:ascii="Arial" w:hAnsi="宋体" w:eastAsiaTheme="majorEastAsia"/>
      <w:b/>
      <w:sz w:val="24"/>
      <w:szCs w:val="24"/>
    </w:rPr>
  </w:style>
  <w:style w:type="paragraph" w:styleId="6">
    <w:name w:val="heading 3"/>
    <w:basedOn w:val="1"/>
    <w:next w:val="1"/>
    <w:link w:val="29"/>
    <w:qFormat/>
    <w:uiPriority w:val="0"/>
    <w:pPr>
      <w:keepNext/>
      <w:keepLines/>
      <w:numPr>
        <w:ilvl w:val="2"/>
        <w:numId w:val="1"/>
      </w:numPr>
      <w:spacing w:line="360" w:lineRule="auto"/>
      <w:ind w:left="0"/>
      <w:outlineLvl w:val="2"/>
    </w:pPr>
    <w:rPr>
      <w:rFonts w:ascii="宋体" w:hAnsi="宋体"/>
      <w:b/>
      <w:bCs/>
      <w:sz w:val="24"/>
      <w:szCs w:val="21"/>
    </w:rPr>
  </w:style>
  <w:style w:type="paragraph" w:styleId="7">
    <w:name w:val="heading 4"/>
    <w:basedOn w:val="6"/>
    <w:next w:val="1"/>
    <w:link w:val="30"/>
    <w:qFormat/>
    <w:uiPriority w:val="0"/>
    <w:pPr>
      <w:numPr>
        <w:ilvl w:val="3"/>
      </w:numPr>
      <w:ind w:firstLine="0"/>
      <w:jc w:val="left"/>
      <w:outlineLvl w:val="3"/>
    </w:pPr>
    <w:rPr>
      <w:bCs w:val="0"/>
    </w:rPr>
  </w:style>
  <w:style w:type="paragraph" w:styleId="8">
    <w:name w:val="heading 5"/>
    <w:basedOn w:val="7"/>
    <w:next w:val="1"/>
    <w:link w:val="31"/>
    <w:qFormat/>
    <w:uiPriority w:val="0"/>
    <w:pPr>
      <w:numPr>
        <w:ilvl w:val="4"/>
      </w:numPr>
      <w:ind w:firstLine="0"/>
      <w:jc w:val="both"/>
      <w:outlineLvl w:val="4"/>
    </w:pPr>
  </w:style>
  <w:style w:type="paragraph" w:styleId="9">
    <w:name w:val="heading 6"/>
    <w:basedOn w:val="1"/>
    <w:next w:val="1"/>
    <w:link w:val="32"/>
    <w:qFormat/>
    <w:uiPriority w:val="0"/>
    <w:pPr>
      <w:keepNext/>
      <w:keepLines/>
      <w:numPr>
        <w:ilvl w:val="5"/>
        <w:numId w:val="1"/>
      </w:numPr>
      <w:spacing w:line="360" w:lineRule="auto"/>
      <w:outlineLvl w:val="5"/>
    </w:pPr>
    <w:rPr>
      <w:rFonts w:ascii="宋体" w:hAnsi="宋体"/>
      <w:bCs/>
      <w:szCs w:val="21"/>
    </w:rPr>
  </w:style>
  <w:style w:type="paragraph" w:styleId="10">
    <w:name w:val="heading 7"/>
    <w:basedOn w:val="1"/>
    <w:next w:val="1"/>
    <w:link w:val="33"/>
    <w:qFormat/>
    <w:uiPriority w:val="99"/>
    <w:pPr>
      <w:keepNext/>
      <w:keepLines/>
      <w:numPr>
        <w:ilvl w:val="6"/>
        <w:numId w:val="1"/>
      </w:numPr>
      <w:spacing w:line="360" w:lineRule="auto"/>
      <w:outlineLvl w:val="6"/>
    </w:pPr>
    <w:rPr>
      <w:rFonts w:ascii="宋体" w:hAnsi="宋体"/>
      <w:szCs w:val="21"/>
    </w:rPr>
  </w:style>
  <w:style w:type="paragraph" w:styleId="11">
    <w:name w:val="heading 8"/>
    <w:basedOn w:val="1"/>
    <w:next w:val="1"/>
    <w:link w:val="34"/>
    <w:qFormat/>
    <w:uiPriority w:val="99"/>
    <w:pPr>
      <w:keepNext/>
      <w:keepLines/>
      <w:numPr>
        <w:ilvl w:val="7"/>
        <w:numId w:val="1"/>
      </w:numPr>
      <w:spacing w:line="317" w:lineRule="auto"/>
      <w:outlineLvl w:val="7"/>
    </w:pPr>
    <w:rPr>
      <w:rFonts w:asciiTheme="minorHAnsi" w:hAnsiTheme="minorHAnsi" w:eastAsiaTheme="minorEastAsia"/>
      <w:szCs w:val="21"/>
    </w:rPr>
  </w:style>
  <w:style w:type="paragraph" w:styleId="12">
    <w:name w:val="heading 9"/>
    <w:basedOn w:val="1"/>
    <w:next w:val="1"/>
    <w:link w:val="35"/>
    <w:qFormat/>
    <w:uiPriority w:val="99"/>
    <w:pPr>
      <w:keepNext/>
      <w:keepLines/>
      <w:numPr>
        <w:ilvl w:val="8"/>
        <w:numId w:val="1"/>
      </w:numPr>
      <w:spacing w:line="317" w:lineRule="auto"/>
      <w:outlineLvl w:val="8"/>
    </w:pPr>
    <w:rPr>
      <w:rFonts w:ascii="宋体" w:hAnsi="宋体"/>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line="240" w:lineRule="auto"/>
      <w:ind w:firstLine="0" w:firstLineChars="0"/>
    </w:pPr>
    <w:rPr>
      <w:szCs w:val="20"/>
    </w:rPr>
  </w:style>
  <w:style w:type="paragraph" w:styleId="3">
    <w:name w:val="Title"/>
    <w:basedOn w:val="1"/>
    <w:qFormat/>
    <w:uiPriority w:val="10"/>
    <w:pPr>
      <w:spacing w:before="240" w:after="60"/>
      <w:jc w:val="center"/>
      <w:outlineLvl w:val="0"/>
    </w:pPr>
    <w:rPr>
      <w:rFonts w:ascii="Calibri Light" w:hAnsi="Calibri Light"/>
      <w:b/>
      <w:bCs/>
      <w:sz w:val="32"/>
      <w:szCs w:val="32"/>
    </w:rPr>
  </w:style>
  <w:style w:type="paragraph" w:styleId="13">
    <w:name w:val="annotation text"/>
    <w:basedOn w:val="1"/>
    <w:link w:val="40"/>
    <w:qFormat/>
    <w:uiPriority w:val="0"/>
    <w:pPr>
      <w:jc w:val="left"/>
    </w:pPr>
  </w:style>
  <w:style w:type="paragraph" w:styleId="14">
    <w:name w:val="Body Text Indent"/>
    <w:basedOn w:val="1"/>
    <w:link w:val="43"/>
    <w:qFormat/>
    <w:uiPriority w:val="0"/>
    <w:pPr>
      <w:spacing w:after="120"/>
      <w:ind w:left="420" w:leftChars="200"/>
    </w:pPr>
  </w:style>
  <w:style w:type="paragraph" w:styleId="15">
    <w:name w:val="toc 3"/>
    <w:basedOn w:val="1"/>
    <w:next w:val="1"/>
    <w:qFormat/>
    <w:uiPriority w:val="39"/>
    <w:pPr>
      <w:ind w:left="840" w:leftChars="400"/>
    </w:pPr>
  </w:style>
  <w:style w:type="paragraph" w:styleId="16">
    <w:name w:val="Balloon Text"/>
    <w:basedOn w:val="1"/>
    <w:link w:val="36"/>
    <w:qFormat/>
    <w:uiPriority w:val="0"/>
    <w:rPr>
      <w:sz w:val="18"/>
      <w:szCs w:val="18"/>
    </w:rPr>
  </w:style>
  <w:style w:type="paragraph" w:styleId="17">
    <w:name w:val="footer"/>
    <w:basedOn w:val="1"/>
    <w:link w:val="38"/>
    <w:qFormat/>
    <w:uiPriority w:val="0"/>
    <w:pPr>
      <w:tabs>
        <w:tab w:val="center" w:pos="4153"/>
        <w:tab w:val="right" w:pos="8306"/>
      </w:tabs>
      <w:snapToGrid w:val="0"/>
      <w:jc w:val="left"/>
    </w:pPr>
    <w:rPr>
      <w:sz w:val="18"/>
      <w:szCs w:val="18"/>
    </w:rPr>
  </w:style>
  <w:style w:type="paragraph" w:styleId="18">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toc 2"/>
    <w:basedOn w:val="1"/>
    <w:next w:val="1"/>
    <w:qFormat/>
    <w:uiPriority w:val="39"/>
    <w:pPr>
      <w:ind w:left="420" w:leftChars="200"/>
    </w:pPr>
  </w:style>
  <w:style w:type="paragraph" w:styleId="21">
    <w:name w:val="annotation subject"/>
    <w:basedOn w:val="13"/>
    <w:next w:val="13"/>
    <w:link w:val="41"/>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Hyperlink"/>
    <w:basedOn w:val="24"/>
    <w:unhideWhenUsed/>
    <w:qFormat/>
    <w:uiPriority w:val="99"/>
    <w:rPr>
      <w:color w:val="0000FF" w:themeColor="hyperlink"/>
      <w:u w:val="single"/>
      <w14:textFill>
        <w14:solidFill>
          <w14:schemeClr w14:val="hlink"/>
        </w14:solidFill>
      </w14:textFill>
    </w:rPr>
  </w:style>
  <w:style w:type="character" w:styleId="26">
    <w:name w:val="annotation reference"/>
    <w:basedOn w:val="24"/>
    <w:qFormat/>
    <w:uiPriority w:val="0"/>
    <w:rPr>
      <w:sz w:val="21"/>
      <w:szCs w:val="21"/>
    </w:rPr>
  </w:style>
  <w:style w:type="character" w:customStyle="1" w:styleId="27">
    <w:name w:val="标题 1 Char"/>
    <w:link w:val="4"/>
    <w:qFormat/>
    <w:uiPriority w:val="0"/>
    <w:rPr>
      <w:rFonts w:ascii="宋体" w:hAnsi="宋体"/>
      <w:b/>
      <w:bCs/>
      <w:sz w:val="32"/>
      <w:szCs w:val="32"/>
    </w:rPr>
  </w:style>
  <w:style w:type="character" w:customStyle="1" w:styleId="28">
    <w:name w:val="标题 2 Char"/>
    <w:link w:val="5"/>
    <w:qFormat/>
    <w:uiPriority w:val="0"/>
    <w:rPr>
      <w:rFonts w:ascii="Arial" w:hAnsi="宋体" w:eastAsiaTheme="majorEastAsia"/>
      <w:b/>
      <w:kern w:val="2"/>
      <w:sz w:val="24"/>
      <w:szCs w:val="24"/>
    </w:rPr>
  </w:style>
  <w:style w:type="character" w:customStyle="1" w:styleId="29">
    <w:name w:val="标题 3 Char"/>
    <w:link w:val="6"/>
    <w:qFormat/>
    <w:uiPriority w:val="0"/>
    <w:rPr>
      <w:rFonts w:ascii="宋体" w:hAnsi="宋体"/>
      <w:b/>
      <w:bCs/>
      <w:kern w:val="2"/>
      <w:sz w:val="24"/>
      <w:szCs w:val="21"/>
    </w:rPr>
  </w:style>
  <w:style w:type="character" w:customStyle="1" w:styleId="30">
    <w:name w:val="标题 4 Char"/>
    <w:link w:val="7"/>
    <w:qFormat/>
    <w:uiPriority w:val="0"/>
    <w:rPr>
      <w:rFonts w:ascii="宋体" w:hAnsi="宋体"/>
      <w:b/>
      <w:kern w:val="2"/>
      <w:sz w:val="21"/>
      <w:szCs w:val="21"/>
    </w:rPr>
  </w:style>
  <w:style w:type="character" w:customStyle="1" w:styleId="31">
    <w:name w:val="标题 5 Char"/>
    <w:link w:val="8"/>
    <w:qFormat/>
    <w:uiPriority w:val="0"/>
    <w:rPr>
      <w:rFonts w:ascii="宋体" w:hAnsi="宋体"/>
      <w:b/>
      <w:kern w:val="2"/>
      <w:sz w:val="24"/>
      <w:szCs w:val="21"/>
    </w:rPr>
  </w:style>
  <w:style w:type="character" w:customStyle="1" w:styleId="32">
    <w:name w:val="标题 6 Char"/>
    <w:link w:val="9"/>
    <w:qFormat/>
    <w:uiPriority w:val="0"/>
    <w:rPr>
      <w:rFonts w:ascii="宋体" w:hAnsi="宋体"/>
      <w:bCs/>
      <w:kern w:val="2"/>
      <w:sz w:val="21"/>
      <w:szCs w:val="21"/>
    </w:rPr>
  </w:style>
  <w:style w:type="character" w:customStyle="1" w:styleId="33">
    <w:name w:val="标题 7 Char"/>
    <w:link w:val="10"/>
    <w:qFormat/>
    <w:uiPriority w:val="99"/>
    <w:rPr>
      <w:rFonts w:ascii="宋体" w:hAnsi="宋体"/>
      <w:kern w:val="2"/>
      <w:sz w:val="21"/>
      <w:szCs w:val="21"/>
    </w:rPr>
  </w:style>
  <w:style w:type="character" w:customStyle="1" w:styleId="34">
    <w:name w:val="标题 8 Char"/>
    <w:link w:val="11"/>
    <w:qFormat/>
    <w:uiPriority w:val="99"/>
    <w:rPr>
      <w:rFonts w:asciiTheme="minorHAnsi" w:hAnsiTheme="minorHAnsi" w:eastAsiaTheme="minorEastAsia"/>
      <w:kern w:val="2"/>
      <w:sz w:val="21"/>
      <w:szCs w:val="21"/>
    </w:rPr>
  </w:style>
  <w:style w:type="character" w:customStyle="1" w:styleId="35">
    <w:name w:val="标题 9 Char"/>
    <w:link w:val="12"/>
    <w:qFormat/>
    <w:uiPriority w:val="99"/>
    <w:rPr>
      <w:rFonts w:ascii="宋体" w:hAnsi="宋体"/>
      <w:kern w:val="2"/>
      <w:sz w:val="21"/>
    </w:rPr>
  </w:style>
  <w:style w:type="character" w:customStyle="1" w:styleId="36">
    <w:name w:val="批注框文本 Char"/>
    <w:basedOn w:val="24"/>
    <w:link w:val="16"/>
    <w:qFormat/>
    <w:uiPriority w:val="0"/>
    <w:rPr>
      <w:kern w:val="2"/>
      <w:sz w:val="18"/>
      <w:szCs w:val="18"/>
    </w:rPr>
  </w:style>
  <w:style w:type="character" w:customStyle="1" w:styleId="37">
    <w:name w:val="页眉 Char"/>
    <w:basedOn w:val="24"/>
    <w:link w:val="18"/>
    <w:qFormat/>
    <w:uiPriority w:val="99"/>
    <w:rPr>
      <w:kern w:val="2"/>
      <w:sz w:val="18"/>
      <w:szCs w:val="18"/>
    </w:rPr>
  </w:style>
  <w:style w:type="character" w:customStyle="1" w:styleId="38">
    <w:name w:val="页脚 Char"/>
    <w:basedOn w:val="24"/>
    <w:link w:val="17"/>
    <w:qFormat/>
    <w:uiPriority w:val="0"/>
    <w:rPr>
      <w:kern w:val="2"/>
      <w:sz w:val="18"/>
      <w:szCs w:val="18"/>
    </w:rPr>
  </w:style>
  <w:style w:type="paragraph" w:customStyle="1" w:styleId="39">
    <w:name w:val="修订1"/>
    <w:hidden/>
    <w:semiHidden/>
    <w:qFormat/>
    <w:uiPriority w:val="99"/>
    <w:rPr>
      <w:rFonts w:ascii="Times New Roman" w:hAnsi="Times New Roman" w:eastAsia="宋体" w:cs="Times New Roman"/>
      <w:kern w:val="2"/>
      <w:sz w:val="24"/>
      <w:lang w:val="en-US" w:eastAsia="zh-CN" w:bidi="ar-SA"/>
    </w:rPr>
  </w:style>
  <w:style w:type="character" w:customStyle="1" w:styleId="40">
    <w:name w:val="批注文字 Char"/>
    <w:basedOn w:val="24"/>
    <w:link w:val="13"/>
    <w:qFormat/>
    <w:uiPriority w:val="0"/>
    <w:rPr>
      <w:kern w:val="2"/>
      <w:sz w:val="21"/>
    </w:rPr>
  </w:style>
  <w:style w:type="character" w:customStyle="1" w:styleId="41">
    <w:name w:val="批注主题 Char"/>
    <w:basedOn w:val="40"/>
    <w:link w:val="21"/>
    <w:qFormat/>
    <w:uiPriority w:val="0"/>
    <w:rPr>
      <w:b/>
      <w:bCs/>
      <w:kern w:val="2"/>
      <w:sz w:val="21"/>
    </w:rPr>
  </w:style>
  <w:style w:type="paragraph" w:styleId="42">
    <w:name w:val="List Paragraph"/>
    <w:basedOn w:val="1"/>
    <w:qFormat/>
    <w:uiPriority w:val="99"/>
    <w:pPr>
      <w:ind w:firstLine="420" w:firstLineChars="200"/>
    </w:pPr>
  </w:style>
  <w:style w:type="character" w:customStyle="1" w:styleId="43">
    <w:name w:val="正文文本缩进 Char"/>
    <w:basedOn w:val="24"/>
    <w:link w:val="14"/>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1F1FBA-70FB-4DC7-AEAA-5BA56E5EFB7B}">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12689</Words>
  <Characters>13144</Characters>
  <Lines>40</Lines>
  <Paragraphs>33</Paragraphs>
  <TotalTime>2</TotalTime>
  <ScaleCrop>false</ScaleCrop>
  <LinksUpToDate>false</LinksUpToDate>
  <CharactersWithSpaces>13881</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2021-03-01T08:14:00Z</dcterms:created>
  <cp:lastPrinted>2025-12-01T01:27:00Z</cp:lastPrinted>
  <dcterms:modified xsi:type="dcterms:W3CDTF">2025-12-18T09:11:31Z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FB839A3D870C4697B5EDB3C04DF606D6_13</vt:lpwstr>
  </property>
</Properties>
</file>